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6910" w14:textId="4E349550" w:rsidR="0064098F" w:rsidRDefault="0064098F" w:rsidP="0064098F">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#127</w:t>
      </w:r>
      <w:r>
        <w:rPr>
          <w:rFonts w:cs="Arial"/>
          <w:b/>
          <w:i/>
          <w:sz w:val="22"/>
          <w:lang w:val="en-US"/>
        </w:rPr>
        <w:tab/>
      </w:r>
      <w:r w:rsidRPr="00F235CD">
        <w:rPr>
          <w:rFonts w:cs="Arial"/>
          <w:b/>
          <w:i/>
          <w:sz w:val="22"/>
          <w:lang w:val="en-US"/>
        </w:rPr>
        <w:t>R2-24</w:t>
      </w:r>
      <w:r w:rsidR="004C5DE7">
        <w:rPr>
          <w:rFonts w:cs="Arial"/>
          <w:b/>
          <w:i/>
          <w:sz w:val="22"/>
          <w:lang w:val="en-US"/>
        </w:rPr>
        <w:t>06311</w:t>
      </w:r>
    </w:p>
    <w:p w14:paraId="520859DC" w14:textId="77777777" w:rsidR="0064098F" w:rsidRDefault="0064098F" w:rsidP="0064098F">
      <w:pPr>
        <w:tabs>
          <w:tab w:val="left" w:pos="1701"/>
          <w:tab w:val="right" w:pos="9639"/>
        </w:tabs>
        <w:spacing w:after="0"/>
        <w:rPr>
          <w:rFonts w:cs="Arial"/>
          <w:b/>
          <w:color w:val="000000"/>
          <w:sz w:val="24"/>
        </w:rPr>
      </w:pPr>
      <w:r w:rsidRPr="000051DC">
        <w:rPr>
          <w:rFonts w:cs="Arial"/>
          <w:b/>
          <w:sz w:val="22"/>
          <w:szCs w:val="22"/>
          <w:lang w:val="en-US"/>
        </w:rPr>
        <w:t xml:space="preserve">Maastricht </w:t>
      </w:r>
      <w:r>
        <w:rPr>
          <w:rFonts w:cs="Arial"/>
          <w:b/>
          <w:sz w:val="22"/>
          <w:szCs w:val="22"/>
          <w:lang w:val="en-US"/>
        </w:rPr>
        <w:t>France August 19th – 23th, 2024</w:t>
      </w:r>
      <w:r>
        <w:rPr>
          <w:rFonts w:cs="Arial"/>
          <w:b/>
          <w:sz w:val="22"/>
          <w:szCs w:val="22"/>
          <w:lang w:val="en-US"/>
        </w:rPr>
        <w:tab/>
      </w:r>
      <w:bookmarkEnd w:id="0"/>
      <w:bookmarkEnd w:id="1"/>
      <w:bookmarkEnd w:id="2"/>
      <w:bookmarkEnd w:id="3"/>
    </w:p>
    <w:p w14:paraId="5E8C1459" w14:textId="77777777" w:rsidR="00230ECA" w:rsidRPr="0064098F" w:rsidRDefault="00230ECA">
      <w:pPr>
        <w:tabs>
          <w:tab w:val="left" w:pos="1701"/>
          <w:tab w:val="right" w:pos="9639"/>
        </w:tabs>
        <w:spacing w:before="100" w:beforeAutospacing="1" w:after="100" w:afterAutospacing="1"/>
        <w:rPr>
          <w:rFonts w:cs="Arial"/>
          <w:b/>
          <w:color w:val="000000"/>
          <w:kern w:val="2"/>
          <w:sz w:val="24"/>
        </w:rPr>
      </w:pPr>
    </w:p>
    <w:p w14:paraId="3EF58149" w14:textId="6C33920E" w:rsidR="00230ECA" w:rsidRDefault="00474A4F">
      <w:pPr>
        <w:pStyle w:val="3GPPHeader"/>
        <w:rPr>
          <w:sz w:val="22"/>
          <w:szCs w:val="22"/>
        </w:rPr>
      </w:pPr>
      <w:r>
        <w:rPr>
          <w:sz w:val="22"/>
          <w:szCs w:val="22"/>
        </w:rPr>
        <w:t>Agenda Item:</w:t>
      </w:r>
      <w:r>
        <w:rPr>
          <w:sz w:val="22"/>
          <w:szCs w:val="22"/>
        </w:rPr>
        <w:tab/>
        <w:t>8</w:t>
      </w:r>
      <w:r w:rsidR="00155808">
        <w:rPr>
          <w:rFonts w:hint="eastAsia"/>
          <w:sz w:val="22"/>
          <w:szCs w:val="22"/>
        </w:rPr>
        <w:t>.</w:t>
      </w:r>
      <w:r w:rsidR="00155808">
        <w:rPr>
          <w:sz w:val="22"/>
          <w:szCs w:val="22"/>
        </w:rPr>
        <w:t>3.2.2</w:t>
      </w:r>
    </w:p>
    <w:p w14:paraId="6B6DAE06" w14:textId="77777777" w:rsidR="00230ECA" w:rsidRDefault="00474A4F">
      <w:pPr>
        <w:pStyle w:val="3GPPHeader"/>
        <w:rPr>
          <w:sz w:val="22"/>
          <w:szCs w:val="22"/>
        </w:rPr>
      </w:pPr>
      <w:r>
        <w:rPr>
          <w:sz w:val="22"/>
          <w:szCs w:val="22"/>
        </w:rPr>
        <w:t>Source:</w:t>
      </w:r>
      <w:r>
        <w:rPr>
          <w:sz w:val="22"/>
          <w:szCs w:val="22"/>
        </w:rPr>
        <w:tab/>
      </w:r>
      <w:r>
        <w:rPr>
          <w:rFonts w:hint="eastAsia"/>
          <w:sz w:val="22"/>
          <w:szCs w:val="22"/>
        </w:rPr>
        <w:t>OPPO</w:t>
      </w:r>
    </w:p>
    <w:p w14:paraId="69BA1A95" w14:textId="3251DFA4" w:rsidR="00230ECA" w:rsidRDefault="00474A4F">
      <w:pPr>
        <w:pStyle w:val="3GPPHeader"/>
        <w:rPr>
          <w:sz w:val="22"/>
          <w:szCs w:val="22"/>
        </w:rPr>
      </w:pPr>
      <w:r>
        <w:rPr>
          <w:sz w:val="22"/>
          <w:szCs w:val="22"/>
        </w:rPr>
        <w:t>Title:</w:t>
      </w:r>
      <w:r>
        <w:rPr>
          <w:sz w:val="22"/>
          <w:szCs w:val="22"/>
        </w:rPr>
        <w:tab/>
        <w:t>Discussion on open issue</w:t>
      </w:r>
      <w:r w:rsidR="00E36E21">
        <w:rPr>
          <w:rFonts w:hint="eastAsia"/>
          <w:sz w:val="22"/>
          <w:szCs w:val="22"/>
        </w:rPr>
        <w:t>s</w:t>
      </w:r>
      <w:r>
        <w:rPr>
          <w:sz w:val="22"/>
          <w:szCs w:val="22"/>
        </w:rPr>
        <w:t xml:space="preserve"> of RRM measurement</w:t>
      </w:r>
    </w:p>
    <w:p w14:paraId="239AB074" w14:textId="77777777" w:rsidR="00230ECA" w:rsidRDefault="00474A4F">
      <w:pPr>
        <w:pStyle w:val="3GPPHeader"/>
      </w:pPr>
      <w:r>
        <w:rPr>
          <w:sz w:val="22"/>
          <w:szCs w:val="22"/>
        </w:rPr>
        <w:t>Document for:</w:t>
      </w:r>
      <w:r>
        <w:rPr>
          <w:sz w:val="22"/>
          <w:szCs w:val="22"/>
        </w:rPr>
        <w:tab/>
        <w:t>Discussion, Decision</w:t>
      </w:r>
    </w:p>
    <w:p w14:paraId="00702251" w14:textId="77777777" w:rsidR="00230ECA" w:rsidRDefault="00474A4F">
      <w:pPr>
        <w:pStyle w:val="1"/>
      </w:pPr>
      <w:bookmarkStart w:id="4" w:name="_Ref488331639"/>
      <w:r>
        <w:t>Introduction</w:t>
      </w:r>
      <w:bookmarkEnd w:id="4"/>
    </w:p>
    <w:p w14:paraId="68E13E89" w14:textId="5389E679" w:rsidR="00230ECA" w:rsidRDefault="00E932C7">
      <w:pPr>
        <w:pStyle w:val="a7"/>
        <w:spacing w:before="120"/>
      </w:pPr>
      <w:r>
        <w:rPr>
          <w:rFonts w:hint="eastAsia"/>
        </w:rPr>
        <w:t>A</w:t>
      </w:r>
      <w:r>
        <w:t>t RAN2#126 meeting, general simulation assumptions, RRC parameters for RRM measurement and priority of evaluation scenarios etc. are concluded. Still there few open issues left for RRM measurement. This paper intends to address those open issues.</w:t>
      </w:r>
    </w:p>
    <w:p w14:paraId="2429080E" w14:textId="77777777" w:rsidR="00230ECA" w:rsidRDefault="00474A4F">
      <w:pPr>
        <w:pStyle w:val="1"/>
      </w:pPr>
      <w:r>
        <w:rPr>
          <w:rFonts w:hint="eastAsia"/>
        </w:rPr>
        <w:t>D</w:t>
      </w:r>
      <w:r>
        <w:t>iscussion</w:t>
      </w:r>
    </w:p>
    <w:p w14:paraId="5526D0CF" w14:textId="1C54D9AE" w:rsidR="00230ECA" w:rsidRDefault="00E25660">
      <w:pPr>
        <w:pStyle w:val="2"/>
      </w:pPr>
      <w:r>
        <w:t xml:space="preserve">L3 </w:t>
      </w:r>
      <w:r w:rsidR="00474A4F">
        <w:t>Cell level prediction</w:t>
      </w:r>
    </w:p>
    <w:p w14:paraId="7E2FA68D" w14:textId="6B739D5C" w:rsidR="00EC0276" w:rsidRPr="00EC0276" w:rsidRDefault="00EC0276" w:rsidP="00EC0276">
      <w:pPr>
        <w:pStyle w:val="3"/>
      </w:pPr>
      <w:r>
        <w:t xml:space="preserve">Further clarification on </w:t>
      </w:r>
      <w:r w:rsidR="000F4AD9">
        <w:t xml:space="preserve">sub </w:t>
      </w:r>
      <w:r>
        <w:t>use case</w:t>
      </w:r>
      <w:r w:rsidR="000F4AD9">
        <w:t>s</w:t>
      </w:r>
    </w:p>
    <w:p w14:paraId="62DF514D" w14:textId="004A6367" w:rsidR="00C560DE" w:rsidRDefault="00C560DE">
      <w:pPr>
        <w:spacing w:beforeLines="50" w:before="120"/>
        <w:rPr>
          <w:bCs/>
        </w:rPr>
      </w:pPr>
      <w:r>
        <w:rPr>
          <w:rFonts w:hint="eastAsia"/>
          <w:bCs/>
        </w:rPr>
        <w:t>R</w:t>
      </w:r>
      <w:r>
        <w:rPr>
          <w:bCs/>
        </w:rPr>
        <w:t>AN2 agreed following use cases in RAN2#125bis:</w:t>
      </w:r>
    </w:p>
    <w:p w14:paraId="03838E77" w14:textId="776AFB20" w:rsidR="00C560DE" w:rsidRPr="00C560DE" w:rsidRDefault="00C560DE" w:rsidP="00C560DE">
      <w:pPr>
        <w:pBdr>
          <w:top w:val="single" w:sz="4" w:space="1" w:color="auto"/>
          <w:left w:val="single" w:sz="4" w:space="0" w:color="auto"/>
          <w:bottom w:val="single" w:sz="4" w:space="1" w:color="auto"/>
          <w:right w:val="single" w:sz="4" w:space="4" w:color="auto"/>
        </w:pBdr>
        <w:spacing w:beforeLines="50" w:before="120"/>
        <w:rPr>
          <w:bCs/>
        </w:rPr>
      </w:pPr>
      <w:r w:rsidRPr="00C560DE">
        <w:rPr>
          <w:bCs/>
        </w:rPr>
        <w:t>For cell level measurement prediction model, at least consider the following cases:</w:t>
      </w:r>
    </w:p>
    <w:p w14:paraId="68FD2932" w14:textId="77777777" w:rsidR="00C560DE" w:rsidRPr="00C560DE" w:rsidRDefault="00C560DE" w:rsidP="00C560DE">
      <w:pPr>
        <w:pBdr>
          <w:top w:val="single" w:sz="4" w:space="1" w:color="auto"/>
          <w:left w:val="single" w:sz="4" w:space="0" w:color="auto"/>
          <w:bottom w:val="single" w:sz="4" w:space="1" w:color="auto"/>
          <w:right w:val="single" w:sz="4" w:space="4" w:color="auto"/>
        </w:pBdr>
        <w:spacing w:beforeLines="50" w:before="120"/>
        <w:rPr>
          <w:bCs/>
        </w:rPr>
      </w:pPr>
      <w:r w:rsidRPr="00C560DE">
        <w:rPr>
          <w:bCs/>
        </w:rPr>
        <w:t xml:space="preserve">Case 1: To predict beam level results, then generate cell level results based on the predicted beam results; </w:t>
      </w:r>
    </w:p>
    <w:p w14:paraId="53224552" w14:textId="77777777" w:rsidR="00C560DE" w:rsidRPr="00C560DE" w:rsidRDefault="00C560DE" w:rsidP="00C560DE">
      <w:pPr>
        <w:pBdr>
          <w:top w:val="single" w:sz="4" w:space="1" w:color="auto"/>
          <w:left w:val="single" w:sz="4" w:space="0" w:color="auto"/>
          <w:bottom w:val="single" w:sz="4" w:space="1" w:color="auto"/>
          <w:right w:val="single" w:sz="4" w:space="4" w:color="auto"/>
        </w:pBdr>
        <w:spacing w:beforeLines="50" w:before="120"/>
        <w:rPr>
          <w:bCs/>
        </w:rPr>
      </w:pPr>
      <w:r w:rsidRPr="00C560DE">
        <w:rPr>
          <w:bCs/>
        </w:rPr>
        <w:t>Case 2: To directly predict cell level results based on cell level results.</w:t>
      </w:r>
    </w:p>
    <w:p w14:paraId="46A91111" w14:textId="64CA32AE" w:rsidR="00C560DE" w:rsidRDefault="00C560DE" w:rsidP="00C560DE">
      <w:pPr>
        <w:pBdr>
          <w:top w:val="single" w:sz="4" w:space="1" w:color="auto"/>
          <w:left w:val="single" w:sz="4" w:space="0" w:color="auto"/>
          <w:bottom w:val="single" w:sz="4" w:space="1" w:color="auto"/>
          <w:right w:val="single" w:sz="4" w:space="4" w:color="auto"/>
        </w:pBdr>
        <w:spacing w:beforeLines="50" w:before="120"/>
        <w:rPr>
          <w:bCs/>
        </w:rPr>
      </w:pPr>
      <w:r w:rsidRPr="00C560DE">
        <w:rPr>
          <w:bCs/>
        </w:rPr>
        <w:t>Case 3: To directly predict cell level results based on beam level results</w:t>
      </w:r>
    </w:p>
    <w:p w14:paraId="5BAAA172" w14:textId="165D59A8" w:rsidR="00C560DE" w:rsidRDefault="00C560DE">
      <w:pPr>
        <w:spacing w:beforeLines="50" w:before="120"/>
        <w:rPr>
          <w:bCs/>
        </w:rPr>
      </w:pPr>
      <w:r>
        <w:rPr>
          <w:bCs/>
        </w:rPr>
        <w:t>In current measurement model, there is L1 cell level measurement and L3 cell level measurement after L3 filtering. So, it is not crystal clear which one it is. From company contributions, offline and online discussion, we think it should be L3 filtered cell level measurement result</w:t>
      </w:r>
      <w:r w:rsidR="009E68D9">
        <w:rPr>
          <w:bCs/>
        </w:rPr>
        <w:t xml:space="preserve"> at least for output of the model</w:t>
      </w:r>
      <w:r>
        <w:rPr>
          <w:bCs/>
        </w:rPr>
        <w:t>. In addition, following agreements in RAN2#126 also imply it is L3 filtered cell level measurement:</w:t>
      </w:r>
    </w:p>
    <w:p w14:paraId="0DED98EC" w14:textId="4D6DDDDC" w:rsidR="00C560DE" w:rsidRDefault="00C560DE" w:rsidP="00C560DE">
      <w:pPr>
        <w:pBdr>
          <w:top w:val="single" w:sz="4" w:space="1" w:color="auto"/>
          <w:left w:val="single" w:sz="4" w:space="4" w:color="auto"/>
          <w:bottom w:val="single" w:sz="4" w:space="1" w:color="auto"/>
          <w:right w:val="single" w:sz="4" w:space="4" w:color="auto"/>
        </w:pBdr>
        <w:spacing w:beforeLines="50" w:before="120"/>
        <w:rPr>
          <w:bCs/>
        </w:rPr>
      </w:pPr>
      <w:r w:rsidRPr="00C560DE">
        <w:rPr>
          <w:bCs/>
        </w:rPr>
        <w:t xml:space="preserve">Methodology of Intra_F_C_S: Intra-frequency intra-cell spatial domain prediction is done by measuring sub set of configured SSB as input to the model to predict </w:t>
      </w:r>
      <w:r w:rsidRPr="00C560DE">
        <w:rPr>
          <w:bCs/>
          <w:highlight w:val="yellow"/>
        </w:rPr>
        <w:t>L3 cell level measurements</w:t>
      </w:r>
      <w:r w:rsidRPr="00C560DE">
        <w:rPr>
          <w:bCs/>
        </w:rPr>
        <w:t xml:space="preserve"> for every instance of the same cell</w:t>
      </w:r>
    </w:p>
    <w:p w14:paraId="3B52775F" w14:textId="77777777" w:rsidR="00C560DE" w:rsidRPr="00C560DE" w:rsidRDefault="00C560DE" w:rsidP="00C560DE">
      <w:pPr>
        <w:pBdr>
          <w:top w:val="single" w:sz="4" w:space="1" w:color="auto"/>
          <w:left w:val="single" w:sz="4" w:space="4" w:color="auto"/>
          <w:bottom w:val="single" w:sz="4" w:space="1" w:color="auto"/>
          <w:right w:val="single" w:sz="4" w:space="4" w:color="auto"/>
        </w:pBdr>
        <w:spacing w:beforeLines="50" w:before="120"/>
        <w:rPr>
          <w:bCs/>
        </w:rPr>
      </w:pPr>
      <w:r w:rsidRPr="00C560DE">
        <w:rPr>
          <w:bCs/>
        </w:rPr>
        <w:t>Agreements</w:t>
      </w:r>
    </w:p>
    <w:p w14:paraId="65BA3BEB" w14:textId="77777777" w:rsidR="00C560DE" w:rsidRPr="00C560DE" w:rsidRDefault="00C560DE" w:rsidP="00C560DE">
      <w:pPr>
        <w:pBdr>
          <w:top w:val="single" w:sz="4" w:space="1" w:color="auto"/>
          <w:left w:val="single" w:sz="4" w:space="4" w:color="auto"/>
          <w:bottom w:val="single" w:sz="4" w:space="1" w:color="auto"/>
          <w:right w:val="single" w:sz="4" w:space="4" w:color="auto"/>
        </w:pBdr>
        <w:spacing w:beforeLines="50" w:before="120"/>
        <w:rPr>
          <w:bCs/>
        </w:rPr>
      </w:pPr>
      <w:r w:rsidRPr="00C560DE">
        <w:rPr>
          <w:bCs/>
        </w:rPr>
        <w:t>1</w:t>
      </w:r>
      <w:r w:rsidRPr="00C560DE">
        <w:rPr>
          <w:bCs/>
        </w:rPr>
        <w:tab/>
        <w:t xml:space="preserve">For the cell level measurement prediction, start with consider a fixed value for L3 filtering in simulation.   FFS which fixed value  </w:t>
      </w:r>
    </w:p>
    <w:p w14:paraId="0AE51B70" w14:textId="04A991D0" w:rsidR="00C560DE" w:rsidRDefault="00C560DE" w:rsidP="00C560DE">
      <w:pPr>
        <w:pBdr>
          <w:top w:val="single" w:sz="4" w:space="1" w:color="auto"/>
          <w:left w:val="single" w:sz="4" w:space="4" w:color="auto"/>
          <w:bottom w:val="single" w:sz="4" w:space="1" w:color="auto"/>
          <w:right w:val="single" w:sz="4" w:space="4" w:color="auto"/>
        </w:pBdr>
        <w:spacing w:beforeLines="50" w:before="120"/>
        <w:rPr>
          <w:bCs/>
        </w:rPr>
      </w:pPr>
      <w:r w:rsidRPr="00C560DE">
        <w:rPr>
          <w:bCs/>
        </w:rPr>
        <w:t>2</w:t>
      </w:r>
      <w:r w:rsidRPr="00C560DE">
        <w:rPr>
          <w:bCs/>
        </w:rPr>
        <w:tab/>
        <w:t>For cell level prediction, RSRP difference to the actual measurement is calculated based on L3 filtered measurement result</w:t>
      </w:r>
    </w:p>
    <w:p w14:paraId="784B885D" w14:textId="6E0B5308" w:rsidR="00C560DE" w:rsidRPr="00C560DE" w:rsidRDefault="00C560DE" w:rsidP="00C560DE">
      <w:pPr>
        <w:spacing w:beforeLines="50" w:before="120"/>
        <w:rPr>
          <w:b/>
        </w:rPr>
      </w:pPr>
      <w:r w:rsidRPr="00C560DE">
        <w:rPr>
          <w:b/>
        </w:rPr>
        <w:t>Proposal</w:t>
      </w:r>
      <w:r w:rsidR="00FC321F">
        <w:rPr>
          <w:b/>
        </w:rPr>
        <w:t xml:space="preserve"> 1</w:t>
      </w:r>
      <w:r w:rsidRPr="00C560DE">
        <w:rPr>
          <w:b/>
        </w:rPr>
        <w:t>: In the definition of RRM sub cases,</w:t>
      </w:r>
      <w:r w:rsidR="00493C3C">
        <w:rPr>
          <w:b/>
        </w:rPr>
        <w:t xml:space="preserve"> RAN2 confirms</w:t>
      </w:r>
      <w:r w:rsidRPr="00C560DE">
        <w:rPr>
          <w:b/>
        </w:rPr>
        <w:t xml:space="preserve"> the </w:t>
      </w:r>
      <w:r w:rsidR="007916AE">
        <w:rPr>
          <w:b/>
        </w:rPr>
        <w:t xml:space="preserve">output </w:t>
      </w:r>
      <w:r w:rsidRPr="00C560DE">
        <w:rPr>
          <w:b/>
        </w:rPr>
        <w:t>cell level result refer</w:t>
      </w:r>
      <w:r w:rsidR="007916AE">
        <w:rPr>
          <w:b/>
        </w:rPr>
        <w:t>s</w:t>
      </w:r>
      <w:r w:rsidRPr="00C560DE">
        <w:rPr>
          <w:b/>
        </w:rPr>
        <w:t xml:space="preserve"> to L3 filtered cell level measurement result</w:t>
      </w:r>
    </w:p>
    <w:p w14:paraId="100D62C2" w14:textId="25F89E10" w:rsidR="00235EAD" w:rsidRDefault="00235EAD" w:rsidP="00235EAD">
      <w:pPr>
        <w:spacing w:beforeLines="50" w:before="120"/>
        <w:rPr>
          <w:bCs/>
        </w:rPr>
      </w:pPr>
      <w:r>
        <w:rPr>
          <w:rFonts w:hint="eastAsia"/>
          <w:bCs/>
        </w:rPr>
        <w:t>F</w:t>
      </w:r>
      <w:r>
        <w:rPr>
          <w:bCs/>
        </w:rPr>
        <w:t>or the input cell level result in sub use case 2, it could be L3 filtered cell level measurement result. During offline discussion some company think it could be also L1 cell level measurement result. L1 cell level measurement result keeps some L1 information with less numbers of input parameters compared to L1 beam level measurement results. The reduction of input parameter may help to improve model’s performance with same level of complexity. So, it is worthy to check the applicability of L1 cell level measurement result as input of the model.</w:t>
      </w:r>
    </w:p>
    <w:p w14:paraId="6C925802" w14:textId="77777777" w:rsidR="00235EAD" w:rsidRDefault="00235EAD" w:rsidP="00235EAD">
      <w:pPr>
        <w:spacing w:beforeLines="50" w:before="120"/>
        <w:rPr>
          <w:bCs/>
        </w:rPr>
      </w:pPr>
      <w:r>
        <w:rPr>
          <w:bCs/>
        </w:rPr>
        <w:lastRenderedPageBreak/>
        <w:t xml:space="preserve">At RAN2#126 meeting, RAN2 agreed that sub case 2 is not applicable for intra-frequency spatial domain. This simply because input measurement result supposes to be an actual L3 cell level measurement result, which should contain the measurement result of all beams. The same reason still stands for L1 cell level result because actual L1 cell level result should be consolidation result of all beams. </w:t>
      </w:r>
    </w:p>
    <w:p w14:paraId="45473305" w14:textId="09526C96" w:rsidR="00235EAD" w:rsidRDefault="00235EAD" w:rsidP="00235EAD">
      <w:pPr>
        <w:spacing w:beforeLines="50" w:before="120"/>
        <w:rPr>
          <w:bCs/>
        </w:rPr>
      </w:pPr>
      <w:r>
        <w:rPr>
          <w:rFonts w:hint="eastAsia"/>
          <w:bCs/>
        </w:rPr>
        <w:t>For</w:t>
      </w:r>
      <w:r>
        <w:rPr>
          <w:bCs/>
        </w:rPr>
        <w:t xml:space="preserve"> FR1 to FR1 inter-frequency prediction and intra-frequency temporal domain case A, sub use case 2 with L1 cell level result as input is still applicable because no measurement is reduced in both temporal and spatial domain for the cell to be actually measured.</w:t>
      </w:r>
    </w:p>
    <w:p w14:paraId="788285DF" w14:textId="4078FD70" w:rsidR="00235EAD" w:rsidRDefault="00235EAD" w:rsidP="00235EAD">
      <w:pPr>
        <w:spacing w:beforeLines="50" w:before="120"/>
      </w:pPr>
      <w:r>
        <w:rPr>
          <w:bCs/>
        </w:rPr>
        <w:t>But we find case B need more discussion. For sub use case 2 with L3 cell level result as input a</w:t>
      </w:r>
      <w:r>
        <w:t xml:space="preserve">ssuming some L3 RSRP results are to be predicted and hence skipped (with grey colour </w:t>
      </w:r>
      <w:r>
        <w:rPr>
          <w:rFonts w:hint="eastAsia"/>
        </w:rPr>
        <w:t>in</w:t>
      </w:r>
      <w:r>
        <w:t xml:space="preserve"> Figure 2.1-1 and 2.1-2), no L1 measurement samples are saved at all</w:t>
      </w:r>
      <w:r w:rsidRPr="00235EAD">
        <w:t xml:space="preserve"> </w:t>
      </w:r>
      <w:r>
        <w:t xml:space="preserve">because of L1/L3 filtering scheme itself. </w:t>
      </w:r>
    </w:p>
    <w:p w14:paraId="243B10C9" w14:textId="77777777" w:rsidR="00322A3B" w:rsidRDefault="00322A3B" w:rsidP="00322A3B">
      <w:pPr>
        <w:spacing w:beforeLines="50" w:before="120"/>
        <w:jc w:val="center"/>
      </w:pPr>
      <w:r>
        <w:object w:dxaOrig="13861" w:dyaOrig="2611" w14:anchorId="56B08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24.1pt;height:80.3pt" o:ole="">
            <v:imagedata r:id="rId7" o:title=""/>
          </v:shape>
          <o:OLEObject Type="Embed" ProgID="Visio.Drawing.15" ShapeID="_x0000_i1036" DrawAspect="Content" ObjectID="_1784636197" r:id="rId8"/>
        </w:object>
      </w:r>
    </w:p>
    <w:p w14:paraId="08FFA99E" w14:textId="77777777" w:rsidR="00322A3B" w:rsidRDefault="00322A3B" w:rsidP="00322A3B">
      <w:pPr>
        <w:spacing w:beforeLines="50" w:before="120"/>
        <w:jc w:val="center"/>
      </w:pPr>
      <w:r>
        <w:rPr>
          <w:rFonts w:hint="eastAsia"/>
        </w:rPr>
        <w:t>F</w:t>
      </w:r>
      <w:r>
        <w:t>igure 2.1-1: L1/L3 filtering option 1</w:t>
      </w:r>
    </w:p>
    <w:p w14:paraId="531AC786" w14:textId="77777777" w:rsidR="00322A3B" w:rsidRDefault="00322A3B" w:rsidP="00322A3B">
      <w:pPr>
        <w:spacing w:beforeLines="50" w:before="120"/>
        <w:jc w:val="center"/>
      </w:pPr>
      <w:r>
        <w:object w:dxaOrig="18540" w:dyaOrig="2611" w14:anchorId="4C727A89">
          <v:shape id="_x0000_i1037" type="#_x0000_t75" style="width:481.1pt;height:67.85pt" o:ole="">
            <v:imagedata r:id="rId9" o:title=""/>
          </v:shape>
          <o:OLEObject Type="Embed" ProgID="Visio.Drawing.15" ShapeID="_x0000_i1037" DrawAspect="Content" ObjectID="_1784636198" r:id="rId10"/>
        </w:object>
      </w:r>
    </w:p>
    <w:p w14:paraId="45653134" w14:textId="77777777" w:rsidR="00322A3B" w:rsidRDefault="00322A3B" w:rsidP="00322A3B">
      <w:pPr>
        <w:spacing w:beforeLines="50" w:before="120"/>
        <w:jc w:val="center"/>
      </w:pPr>
      <w:r>
        <w:rPr>
          <w:rFonts w:hint="eastAsia"/>
        </w:rPr>
        <w:t>F</w:t>
      </w:r>
      <w:r>
        <w:t>igure 2.1-2: L1/L3 filtering option 2</w:t>
      </w:r>
    </w:p>
    <w:p w14:paraId="4256A3CA" w14:textId="03F66384" w:rsidR="00235EAD" w:rsidRDefault="00235EAD" w:rsidP="00235EAD">
      <w:pPr>
        <w:spacing w:beforeLines="50" w:before="120"/>
      </w:pPr>
      <w:r>
        <w:t xml:space="preserve">Now assuming the input is L1 cell level result i.e., without L3 filtering, the L1 measurement can be saved. For L1/L3 filtering option 1, it works as long as raw </w:t>
      </w:r>
      <w:r w:rsidRPr="00566D59">
        <w:t>L1 sample</w:t>
      </w:r>
      <w:r>
        <w:t xml:space="preserve"> is used for consolidation for L1 cell level result. For option 2, it works when either raw L1 samples or L1 filtered samples are used for consolidation for L1 cell level result. </w:t>
      </w:r>
    </w:p>
    <w:p w14:paraId="10D645E4" w14:textId="1E547E92" w:rsidR="00235EAD" w:rsidRDefault="00235EAD" w:rsidP="00235EAD">
      <w:pPr>
        <w:spacing w:beforeLines="50" w:before="120"/>
        <w:rPr>
          <w:b/>
        </w:rPr>
      </w:pPr>
      <w:r>
        <w:rPr>
          <w:rFonts w:hint="eastAsia"/>
          <w:b/>
        </w:rPr>
        <w:t>P</w:t>
      </w:r>
      <w:r>
        <w:rPr>
          <w:b/>
        </w:rPr>
        <w:t>roposal 2: For RRM sub use case2, both L1 and L3 cell level measurement result can be input of the model</w:t>
      </w:r>
    </w:p>
    <w:p w14:paraId="2A886E2E" w14:textId="3A8CAA38" w:rsidR="00235EAD" w:rsidRDefault="00235EAD" w:rsidP="00235EAD">
      <w:pPr>
        <w:spacing w:beforeLines="50" w:before="120"/>
        <w:rPr>
          <w:b/>
        </w:rPr>
      </w:pPr>
      <w:r>
        <w:rPr>
          <w:rFonts w:hint="eastAsia"/>
          <w:b/>
        </w:rPr>
        <w:t>P</w:t>
      </w:r>
      <w:r>
        <w:rPr>
          <w:b/>
        </w:rPr>
        <w:t xml:space="preserve">roposal </w:t>
      </w:r>
      <w:r w:rsidR="000E007B">
        <w:rPr>
          <w:b/>
        </w:rPr>
        <w:t>3</w:t>
      </w:r>
      <w:r>
        <w:rPr>
          <w:b/>
        </w:rPr>
        <w:t>: When L1 cell level measurement result is input, sub use case 2 is applicable for temporal and frequency domain prediction but not spatial domain prediction</w:t>
      </w:r>
    </w:p>
    <w:p w14:paraId="0DB20660" w14:textId="7C9F7CB0" w:rsidR="00493C3C" w:rsidRDefault="00235EAD" w:rsidP="00493C3C">
      <w:pPr>
        <w:spacing w:beforeLines="50" w:before="120"/>
        <w:rPr>
          <w:b/>
        </w:rPr>
      </w:pPr>
      <w:r w:rsidRPr="00337BB7">
        <w:rPr>
          <w:rFonts w:hint="eastAsia"/>
          <w:b/>
        </w:rPr>
        <w:t>P</w:t>
      </w:r>
      <w:r w:rsidRPr="00337BB7">
        <w:rPr>
          <w:b/>
        </w:rPr>
        <w:t>roposal</w:t>
      </w:r>
      <w:r>
        <w:rPr>
          <w:b/>
        </w:rPr>
        <w:t xml:space="preserve"> </w:t>
      </w:r>
      <w:r w:rsidR="000E007B">
        <w:rPr>
          <w:b/>
        </w:rPr>
        <w:t>4</w:t>
      </w:r>
      <w:r w:rsidRPr="00337BB7">
        <w:rPr>
          <w:b/>
        </w:rPr>
        <w:t xml:space="preserve">: </w:t>
      </w:r>
      <w:r>
        <w:rPr>
          <w:b/>
        </w:rPr>
        <w:t xml:space="preserve">For </w:t>
      </w:r>
      <w:r w:rsidRPr="00337BB7">
        <w:rPr>
          <w:b/>
        </w:rPr>
        <w:t xml:space="preserve">RRM sub </w:t>
      </w:r>
      <w:r>
        <w:rPr>
          <w:b/>
        </w:rPr>
        <w:t xml:space="preserve">use </w:t>
      </w:r>
      <w:r w:rsidRPr="00337BB7">
        <w:rPr>
          <w:b/>
        </w:rPr>
        <w:t>case 2</w:t>
      </w:r>
      <w:r>
        <w:rPr>
          <w:b/>
        </w:rPr>
        <w:t>, L1 instead of L3 cell level measurement result should be</w:t>
      </w:r>
      <w:r w:rsidRPr="00337BB7">
        <w:rPr>
          <w:b/>
        </w:rPr>
        <w:t xml:space="preserve"> </w:t>
      </w:r>
      <w:r>
        <w:rPr>
          <w:b/>
        </w:rPr>
        <w:t>applied</w:t>
      </w:r>
      <w:r w:rsidRPr="00337BB7">
        <w:rPr>
          <w:b/>
        </w:rPr>
        <w:t xml:space="preserve"> for intra-frequency temporal domain</w:t>
      </w:r>
      <w:r>
        <w:rPr>
          <w:b/>
        </w:rPr>
        <w:t xml:space="preserve"> case B </w:t>
      </w:r>
      <w:r>
        <w:rPr>
          <w:rFonts w:hint="eastAsia"/>
          <w:b/>
        </w:rPr>
        <w:t>a</w:t>
      </w:r>
      <w:r>
        <w:rPr>
          <w:b/>
        </w:rPr>
        <w:t>s model input.</w:t>
      </w:r>
    </w:p>
    <w:p w14:paraId="7804AF00" w14:textId="168CA4C2" w:rsidR="00D77E20" w:rsidRPr="00EC0276" w:rsidRDefault="00D77E20" w:rsidP="00D77E20">
      <w:pPr>
        <w:pStyle w:val="3"/>
      </w:pPr>
      <w:r>
        <w:t>Clarification on temporal domain prediction</w:t>
      </w:r>
    </w:p>
    <w:p w14:paraId="2E65FDD1" w14:textId="2E190836" w:rsidR="005872C2" w:rsidRDefault="005872C2">
      <w:pPr>
        <w:spacing w:beforeLines="50" w:before="120"/>
        <w:rPr>
          <w:bCs/>
        </w:rPr>
      </w:pPr>
      <w:r>
        <w:rPr>
          <w:rFonts w:hint="eastAsia"/>
          <w:bCs/>
        </w:rPr>
        <w:t>D</w:t>
      </w:r>
      <w:r>
        <w:rPr>
          <w:bCs/>
        </w:rPr>
        <w:t>uring RAN2#126 meeting</w:t>
      </w:r>
      <w:r w:rsidR="00047E7E">
        <w:rPr>
          <w:bCs/>
        </w:rPr>
        <w:t xml:space="preserve"> </w:t>
      </w:r>
      <w:r w:rsidR="00047E7E">
        <w:rPr>
          <w:rFonts w:hint="eastAsia"/>
          <w:bCs/>
        </w:rPr>
        <w:t>for</w:t>
      </w:r>
      <w:r w:rsidR="00047E7E">
        <w:rPr>
          <w:bCs/>
        </w:rPr>
        <w:t xml:space="preserve"> intra-frequency temporal domain, during offline discussion there is some ambiguity whether the case illustrated in Figure 2.1-</w:t>
      </w:r>
      <w:r w:rsidR="000E007B">
        <w:rPr>
          <w:bCs/>
        </w:rPr>
        <w:t>3</w:t>
      </w:r>
      <w:r w:rsidR="00047E7E">
        <w:rPr>
          <w:bCs/>
        </w:rPr>
        <w:t xml:space="preserve"> is intra-frequency temporal case A or case B:</w:t>
      </w:r>
    </w:p>
    <w:p w14:paraId="72A1C525" w14:textId="160525CB" w:rsidR="00047E7E" w:rsidRDefault="0059303B" w:rsidP="0059303B">
      <w:pPr>
        <w:spacing w:beforeLines="50" w:before="120"/>
        <w:jc w:val="center"/>
      </w:pPr>
      <w:r>
        <w:object w:dxaOrig="8415" w:dyaOrig="2056" w14:anchorId="56FB5304">
          <v:shape id="_x0000_i1027" type="#_x0000_t75" style="width:286.35pt;height:70.35pt" o:ole="">
            <v:imagedata r:id="rId11" o:title=""/>
          </v:shape>
          <o:OLEObject Type="Embed" ProgID="Visio.Drawing.15" ShapeID="_x0000_i1027" DrawAspect="Content" ObjectID="_1784636199" r:id="rId12"/>
        </w:object>
      </w:r>
    </w:p>
    <w:p w14:paraId="6CAF9337" w14:textId="21718B51" w:rsidR="0059303B" w:rsidRDefault="0059303B" w:rsidP="0059303B">
      <w:pPr>
        <w:spacing w:beforeLines="50" w:before="120"/>
        <w:jc w:val="center"/>
      </w:pPr>
      <w:r>
        <w:rPr>
          <w:rFonts w:hint="eastAsia"/>
        </w:rPr>
        <w:t>F</w:t>
      </w:r>
      <w:r>
        <w:t>igure 2.1-</w:t>
      </w:r>
      <w:r w:rsidR="007417B4">
        <w:t>3</w:t>
      </w:r>
      <w:r w:rsidR="00DE6C24">
        <w:t>: one intra-frequency temporal domain case B</w:t>
      </w:r>
    </w:p>
    <w:p w14:paraId="0641F005" w14:textId="08B0B5FD" w:rsidR="0059303B" w:rsidRDefault="0059303B" w:rsidP="0059303B">
      <w:pPr>
        <w:spacing w:beforeLines="50" w:before="120"/>
        <w:rPr>
          <w:bCs/>
        </w:rPr>
      </w:pPr>
      <w:r>
        <w:rPr>
          <w:bCs/>
        </w:rPr>
        <w:t>In Figure 2.1-</w:t>
      </w:r>
      <w:r w:rsidR="000E007B">
        <w:rPr>
          <w:bCs/>
        </w:rPr>
        <w:t>3</w:t>
      </w:r>
      <w:r>
        <w:rPr>
          <w:bCs/>
        </w:rPr>
        <w:t xml:space="preserve"> UE perform actual measurement in observation window e.g. between t0 a</w:t>
      </w:r>
      <w:r w:rsidR="00571207">
        <w:rPr>
          <w:bCs/>
        </w:rPr>
        <w:t>n</w:t>
      </w:r>
      <w:r>
        <w:rPr>
          <w:bCs/>
        </w:rPr>
        <w:t>d t1</w:t>
      </w:r>
      <w:r w:rsidR="00705C4A">
        <w:rPr>
          <w:bCs/>
        </w:rPr>
        <w:t xml:space="preserve"> or between</w:t>
      </w:r>
      <w:r>
        <w:rPr>
          <w:bCs/>
        </w:rPr>
        <w:t xml:space="preserve"> t2 and t3. The measurement results within prediction window e.g. between t1 and t2 are always predicted and hence skipped. </w:t>
      </w:r>
      <w:r w:rsidR="00DE1995">
        <w:rPr>
          <w:bCs/>
        </w:rPr>
        <w:t>The intention is clear i.e. to save the measurement within prediction window</w:t>
      </w:r>
      <w:r w:rsidR="00705C4A">
        <w:rPr>
          <w:bCs/>
        </w:rPr>
        <w:t>.</w:t>
      </w:r>
      <w:r w:rsidR="00DE1995">
        <w:rPr>
          <w:bCs/>
        </w:rPr>
        <w:t xml:space="preserve"> At RAN2#126 when few evaluation scenarios are prioritized, the target goal of intra-frequency temporal domain case A is 2</w:t>
      </w:r>
      <w:r w:rsidR="00DE1995" w:rsidRPr="00DE1995">
        <w:rPr>
          <w:bCs/>
          <w:vertAlign w:val="superscript"/>
        </w:rPr>
        <w:t>nd</w:t>
      </w:r>
      <w:r w:rsidR="00DE1995">
        <w:rPr>
          <w:bCs/>
        </w:rPr>
        <w:t xml:space="preserve"> goal while temporal domain case B is 1</w:t>
      </w:r>
      <w:r w:rsidR="00DE1995" w:rsidRPr="00DE1995">
        <w:rPr>
          <w:bCs/>
          <w:vertAlign w:val="superscript"/>
        </w:rPr>
        <w:t>st</w:t>
      </w:r>
      <w:r w:rsidR="00DE1995">
        <w:rPr>
          <w:bCs/>
        </w:rPr>
        <w:t xml:space="preserve"> goal. RAN2 agreed at RAN2#126 meeting that </w:t>
      </w:r>
      <w:r w:rsidR="00DE1995" w:rsidRPr="00705C4A">
        <w:rPr>
          <w:bCs/>
        </w:rPr>
        <w:t>“For the evaluation exercise for 2</w:t>
      </w:r>
      <w:r w:rsidR="00DE1995" w:rsidRPr="00705C4A">
        <w:rPr>
          <w:bCs/>
          <w:vertAlign w:val="superscript"/>
        </w:rPr>
        <w:t>nd</w:t>
      </w:r>
      <w:r w:rsidR="00DE1995" w:rsidRPr="00705C4A">
        <w:rPr>
          <w:bCs/>
        </w:rPr>
        <w:t xml:space="preserve"> study goal, RAN2 should assume that there is no reduction in measurement overhead”</w:t>
      </w:r>
      <w:r w:rsidR="00DE1995">
        <w:rPr>
          <w:bCs/>
        </w:rPr>
        <w:t>. Obviously, the case illustrated in Figure 2.1-</w:t>
      </w:r>
      <w:r w:rsidR="000E007B">
        <w:rPr>
          <w:bCs/>
        </w:rPr>
        <w:t>3</w:t>
      </w:r>
      <w:r w:rsidR="00DE1995">
        <w:rPr>
          <w:bCs/>
        </w:rPr>
        <w:t xml:space="preserve"> belongs to intra-frequency temporal domain case B. For case A, in order to predict whenever a new input measurement result is available, a sliding window scheme should be </w:t>
      </w:r>
      <w:r w:rsidR="00DE1995">
        <w:rPr>
          <w:bCs/>
        </w:rPr>
        <w:lastRenderedPageBreak/>
        <w:t>applied</w:t>
      </w:r>
      <w:r w:rsidR="00705C4A">
        <w:rPr>
          <w:bCs/>
        </w:rPr>
        <w:t xml:space="preserve"> for both observation window and prediction window</w:t>
      </w:r>
      <w:r w:rsidR="00DE1995">
        <w:rPr>
          <w:bCs/>
        </w:rPr>
        <w:t xml:space="preserve"> and eventually no measurement is reduced</w:t>
      </w:r>
      <w:r w:rsidR="00571207">
        <w:rPr>
          <w:bCs/>
        </w:rPr>
        <w:t xml:space="preserve"> as illustrated in Figure 2.1-</w:t>
      </w:r>
      <w:r w:rsidR="000E007B">
        <w:rPr>
          <w:bCs/>
        </w:rPr>
        <w:t>4</w:t>
      </w:r>
      <w:r w:rsidR="003C19F1">
        <w:rPr>
          <w:bCs/>
        </w:rPr>
        <w:t>.</w:t>
      </w:r>
    </w:p>
    <w:p w14:paraId="1A465F54" w14:textId="0D57DE29" w:rsidR="00DE6C24" w:rsidRDefault="00DE6C24" w:rsidP="00DE6C24">
      <w:pPr>
        <w:spacing w:beforeLines="50" w:before="120"/>
        <w:jc w:val="center"/>
      </w:pPr>
      <w:r>
        <w:object w:dxaOrig="6420" w:dyaOrig="2805" w14:anchorId="5D1DC15B">
          <v:shape id="_x0000_i1028" type="#_x0000_t75" style="width:213.9pt;height:93.65pt" o:ole="">
            <v:imagedata r:id="rId13" o:title=""/>
          </v:shape>
          <o:OLEObject Type="Embed" ProgID="Visio.Drawing.15" ShapeID="_x0000_i1028" DrawAspect="Content" ObjectID="_1784636200" r:id="rId14"/>
        </w:object>
      </w:r>
    </w:p>
    <w:p w14:paraId="7EF27A65" w14:textId="729818B8" w:rsidR="00DE6C24" w:rsidRDefault="00DE6C24" w:rsidP="00DE6C24">
      <w:pPr>
        <w:spacing w:beforeLines="50" w:before="120"/>
        <w:jc w:val="center"/>
        <w:rPr>
          <w:bCs/>
        </w:rPr>
      </w:pPr>
      <w:r>
        <w:rPr>
          <w:rFonts w:hint="eastAsia"/>
        </w:rPr>
        <w:t>F</w:t>
      </w:r>
      <w:r>
        <w:t>igure 2.1-</w:t>
      </w:r>
      <w:r w:rsidR="007417B4">
        <w:t>4</w:t>
      </w:r>
      <w:r>
        <w:t>: intra-frequency temporal domain case A</w:t>
      </w:r>
    </w:p>
    <w:p w14:paraId="3B59D711" w14:textId="40110FFF" w:rsidR="001926C2" w:rsidRPr="0064538E" w:rsidRDefault="001926C2" w:rsidP="0059303B">
      <w:pPr>
        <w:spacing w:beforeLines="50" w:before="120"/>
        <w:rPr>
          <w:b/>
        </w:rPr>
      </w:pPr>
      <w:r w:rsidRPr="0064538E">
        <w:rPr>
          <w:rFonts w:hint="eastAsia"/>
          <w:b/>
        </w:rPr>
        <w:t>P</w:t>
      </w:r>
      <w:r w:rsidRPr="0064538E">
        <w:rPr>
          <w:b/>
        </w:rPr>
        <w:t>roposal</w:t>
      </w:r>
      <w:r w:rsidR="00DE7F23">
        <w:rPr>
          <w:b/>
        </w:rPr>
        <w:t xml:space="preserve"> </w:t>
      </w:r>
      <w:r w:rsidR="000E007B">
        <w:rPr>
          <w:b/>
        </w:rPr>
        <w:t>6</w:t>
      </w:r>
      <w:r w:rsidRPr="0064538E">
        <w:rPr>
          <w:b/>
        </w:rPr>
        <w:t xml:space="preserve">: RAN2 confirm </w:t>
      </w:r>
      <w:r w:rsidR="00571207" w:rsidRPr="00DE7F23">
        <w:rPr>
          <w:b/>
        </w:rPr>
        <w:t>Intra-frequency intra-cell temporal domain case B prediction is evaluated for 1st study goal by predicting a sub set of measurement instances in temporal domain of the same cell. The detail TDM pattern e.g. as illustrate in Figure 2.1-1 is up to implementation.</w:t>
      </w:r>
    </w:p>
    <w:p w14:paraId="1A727BE8" w14:textId="6CE34550" w:rsidR="00CA1106" w:rsidRPr="00EC0276" w:rsidRDefault="00D77E20" w:rsidP="00CA1106">
      <w:pPr>
        <w:pStyle w:val="3"/>
      </w:pPr>
      <w:r>
        <w:t xml:space="preserve"> C</w:t>
      </w:r>
      <w:r w:rsidR="00CA1106">
        <w:t xml:space="preserve">larification on </w:t>
      </w:r>
      <w:r w:rsidR="00387AC5">
        <w:t>inter-frequency prediction</w:t>
      </w:r>
    </w:p>
    <w:p w14:paraId="79B5C2A5" w14:textId="58B1FAAB" w:rsidR="00664159" w:rsidRDefault="000355AB">
      <w:pPr>
        <w:spacing w:beforeLines="50" w:before="120"/>
        <w:rPr>
          <w:bCs/>
        </w:rPr>
      </w:pPr>
      <w:r>
        <w:rPr>
          <w:bCs/>
        </w:rPr>
        <w:t>For FR1 to FR1 inter-frequency, the intention is to save measurement gap, which suppose</w:t>
      </w:r>
      <w:r w:rsidR="0061281F">
        <w:rPr>
          <w:bCs/>
        </w:rPr>
        <w:t>s</w:t>
      </w:r>
      <w:r>
        <w:rPr>
          <w:bCs/>
        </w:rPr>
        <w:t xml:space="preserve"> to be used for measuring non-serving frequency.</w:t>
      </w:r>
      <w:r w:rsidR="00664159">
        <w:rPr>
          <w:bCs/>
        </w:rPr>
        <w:t xml:space="preserve"> For baseline case it means UE need</w:t>
      </w:r>
      <w:r w:rsidR="00E03408">
        <w:rPr>
          <w:bCs/>
        </w:rPr>
        <w:t>s</w:t>
      </w:r>
      <w:r w:rsidR="00664159">
        <w:rPr>
          <w:bCs/>
        </w:rPr>
        <w:t xml:space="preserve"> do the measurement in TDM way.</w:t>
      </w:r>
      <w:r w:rsidR="005001BC">
        <w:rPr>
          <w:bCs/>
        </w:rPr>
        <w:t xml:space="preserve"> But it may not </w:t>
      </w:r>
      <w:r w:rsidR="00E03408">
        <w:rPr>
          <w:bCs/>
        </w:rPr>
        <w:t xml:space="preserve">be </w:t>
      </w:r>
      <w:r w:rsidR="005001BC">
        <w:rPr>
          <w:bCs/>
        </w:rPr>
        <w:t>the case for evaluation, inference and monitoring procedure</w:t>
      </w:r>
      <w:r w:rsidR="00664159">
        <w:rPr>
          <w:bCs/>
        </w:rPr>
        <w:t>.</w:t>
      </w:r>
      <w:r w:rsidR="00D03CF4">
        <w:rPr>
          <w:bCs/>
        </w:rPr>
        <w:t xml:space="preserve"> </w:t>
      </w:r>
    </w:p>
    <w:p w14:paraId="2D18A784" w14:textId="6AEA7F16" w:rsidR="00BA23E8" w:rsidRDefault="00575B5B" w:rsidP="00575B5B">
      <w:pPr>
        <w:spacing w:beforeLines="50" w:before="120"/>
        <w:jc w:val="center"/>
      </w:pPr>
      <w:r>
        <w:object w:dxaOrig="12060" w:dyaOrig="1755" w14:anchorId="20883495">
          <v:shape id="_x0000_i1029" type="#_x0000_t75" style="width:385.8pt;height:56.2pt" o:ole="">
            <v:imagedata r:id="rId15" o:title=""/>
          </v:shape>
          <o:OLEObject Type="Embed" ProgID="Visio.Drawing.15" ShapeID="_x0000_i1029" DrawAspect="Content" ObjectID="_1784636201" r:id="rId16"/>
        </w:object>
      </w:r>
    </w:p>
    <w:p w14:paraId="47109B5D" w14:textId="2897D5A6" w:rsidR="00575B5B" w:rsidRDefault="00575B5B" w:rsidP="00575B5B">
      <w:pPr>
        <w:spacing w:beforeLines="50" w:before="120"/>
        <w:jc w:val="center"/>
      </w:pPr>
      <w:r>
        <w:rPr>
          <w:rFonts w:hint="eastAsia"/>
        </w:rPr>
        <w:t>F</w:t>
      </w:r>
      <w:r>
        <w:t>igure 2.1-</w:t>
      </w:r>
      <w:r w:rsidR="000E007B">
        <w:t>5</w:t>
      </w:r>
      <w:r>
        <w:t xml:space="preserve"> Baseline methodology</w:t>
      </w:r>
    </w:p>
    <w:p w14:paraId="4A723E89" w14:textId="15A1AB2B" w:rsidR="004B6A79" w:rsidRDefault="004B6A79" w:rsidP="00575B5B">
      <w:pPr>
        <w:spacing w:beforeLines="50" w:before="120"/>
        <w:jc w:val="center"/>
      </w:pPr>
      <w:r>
        <w:object w:dxaOrig="12060" w:dyaOrig="1755" w14:anchorId="4A7F60F7">
          <v:shape id="_x0000_i1030" type="#_x0000_t75" style="width:389.95pt;height:56.6pt" o:ole="">
            <v:imagedata r:id="rId17" o:title=""/>
          </v:shape>
          <o:OLEObject Type="Embed" ProgID="Visio.Drawing.15" ShapeID="_x0000_i1030" DrawAspect="Content" ObjectID="_1784636202" r:id="rId18"/>
        </w:object>
      </w:r>
    </w:p>
    <w:p w14:paraId="76305D6B" w14:textId="730295CF" w:rsidR="004B6A79" w:rsidRDefault="004B6A79" w:rsidP="00575B5B">
      <w:pPr>
        <w:spacing w:beforeLines="50" w:before="120"/>
        <w:jc w:val="center"/>
      </w:pPr>
      <w:r>
        <w:rPr>
          <w:rFonts w:hint="eastAsia"/>
        </w:rPr>
        <w:t>F</w:t>
      </w:r>
      <w:r>
        <w:t>igure 2.1-</w:t>
      </w:r>
      <w:r w:rsidR="000E007B">
        <w:t>6</w:t>
      </w:r>
      <w:r>
        <w:t xml:space="preserve"> evaluation methodology</w:t>
      </w:r>
    </w:p>
    <w:p w14:paraId="4AF8525C" w14:textId="4D86E971" w:rsidR="004B6A79" w:rsidRDefault="00972E70" w:rsidP="00575B5B">
      <w:pPr>
        <w:spacing w:beforeLines="50" w:before="120"/>
        <w:jc w:val="center"/>
      </w:pPr>
      <w:r>
        <w:object w:dxaOrig="12060" w:dyaOrig="1755" w14:anchorId="530FB0E1">
          <v:shape id="_x0000_i1031" type="#_x0000_t75" style="width:409.95pt;height:59.5pt" o:ole="">
            <v:imagedata r:id="rId19" o:title=""/>
          </v:shape>
          <o:OLEObject Type="Embed" ProgID="Visio.Drawing.15" ShapeID="_x0000_i1031" DrawAspect="Content" ObjectID="_1784636203" r:id="rId20"/>
        </w:object>
      </w:r>
    </w:p>
    <w:p w14:paraId="4BB67169" w14:textId="63222C43" w:rsidR="00972E70" w:rsidRDefault="00972E70" w:rsidP="00575B5B">
      <w:pPr>
        <w:spacing w:beforeLines="50" w:before="120"/>
        <w:jc w:val="center"/>
      </w:pPr>
      <w:r>
        <w:rPr>
          <w:rFonts w:hint="eastAsia"/>
        </w:rPr>
        <w:t>F</w:t>
      </w:r>
      <w:r>
        <w:t>igure 2.1-</w:t>
      </w:r>
      <w:r w:rsidR="000E007B">
        <w:t>7</w:t>
      </w:r>
      <w:r>
        <w:t xml:space="preserve"> inference methodology</w:t>
      </w:r>
    </w:p>
    <w:p w14:paraId="3D8BD233" w14:textId="0C50B5A8" w:rsidR="00972E70" w:rsidRDefault="005E7182" w:rsidP="00575B5B">
      <w:pPr>
        <w:spacing w:beforeLines="50" w:before="120"/>
        <w:jc w:val="center"/>
      </w:pPr>
      <w:r>
        <w:object w:dxaOrig="12060" w:dyaOrig="2175" w14:anchorId="32CBF1ED">
          <v:shape id="_x0000_i1032" type="#_x0000_t75" style="width:402.85pt;height:72.4pt" o:ole="">
            <v:imagedata r:id="rId21" o:title=""/>
          </v:shape>
          <o:OLEObject Type="Embed" ProgID="Visio.Drawing.15" ShapeID="_x0000_i1032" DrawAspect="Content" ObjectID="_1784636204" r:id="rId22"/>
        </w:object>
      </w:r>
    </w:p>
    <w:p w14:paraId="792D817E" w14:textId="419D7C0F" w:rsidR="006F7662" w:rsidRDefault="006F7662" w:rsidP="00575B5B">
      <w:pPr>
        <w:spacing w:beforeLines="50" w:before="120"/>
        <w:jc w:val="center"/>
      </w:pPr>
      <w:r>
        <w:rPr>
          <w:rFonts w:hint="eastAsia"/>
        </w:rPr>
        <w:t>F</w:t>
      </w:r>
      <w:r>
        <w:t>igure 2.1-</w:t>
      </w:r>
      <w:r w:rsidR="000E007B">
        <w:t>8</w:t>
      </w:r>
      <w:r>
        <w:t xml:space="preserve"> monitoring methodology</w:t>
      </w:r>
    </w:p>
    <w:p w14:paraId="084139B2" w14:textId="2FBA7B16" w:rsidR="006F7662" w:rsidRDefault="005001BC" w:rsidP="006F7662">
      <w:pPr>
        <w:spacing w:beforeLines="50" w:before="120"/>
      </w:pPr>
      <w:r>
        <w:rPr>
          <w:rFonts w:hint="eastAsia"/>
        </w:rPr>
        <w:t>F</w:t>
      </w:r>
      <w:r>
        <w:t>igure 2.1.</w:t>
      </w:r>
      <w:r w:rsidR="000E007B">
        <w:t>5</w:t>
      </w:r>
      <w:r>
        <w:t>~</w:t>
      </w:r>
      <w:r w:rsidR="000E007B">
        <w:t>8</w:t>
      </w:r>
      <w:r>
        <w:t xml:space="preserve"> illustrate our understanding of the FR1 to FR1 inter-frequency prediction. For </w:t>
      </w:r>
      <w:r w:rsidR="00001F59">
        <w:t>evaluation purpose, in order to calculate prediction accuracy, the time instances to be measured on serving frequency and to be predicted on non-serving frequency should be align with the time instance, when the corresponding label is measured as indicated in Figure 2.1.</w:t>
      </w:r>
      <w:r w:rsidR="000E007B">
        <w:t>6</w:t>
      </w:r>
      <w:r w:rsidR="00001F59">
        <w:t>. During inference,</w:t>
      </w:r>
      <w:r w:rsidR="004F70A1">
        <w:t xml:space="preserve"> more measurement results can be predicted assuming more measurement is performed on serving frequency. It reduces the measurement period equivalently compared to baseline case and hence also improve the measurement performance. Upon monitoring Time instance of measurement on serving frequency and non-serving frequency is performed in TDM way just like baseline. But the time instance to be predicted </w:t>
      </w:r>
      <w:r w:rsidR="00705C4A">
        <w:t>should</w:t>
      </w:r>
      <w:r w:rsidR="004F70A1">
        <w:t xml:space="preserve"> be aligned with serving frequency </w:t>
      </w:r>
      <w:r w:rsidR="00705C4A">
        <w:t>in order to align with evaluation case by reusing the same model</w:t>
      </w:r>
      <w:r w:rsidR="004F70A1">
        <w:t>.</w:t>
      </w:r>
    </w:p>
    <w:p w14:paraId="23DD17F0" w14:textId="4394A81B" w:rsidR="00983DB2" w:rsidRPr="00CA754B" w:rsidRDefault="00983DB2" w:rsidP="006F7662">
      <w:pPr>
        <w:spacing w:beforeLines="50" w:before="120"/>
        <w:rPr>
          <w:b/>
          <w:bCs/>
        </w:rPr>
      </w:pPr>
      <w:r w:rsidRPr="00CA754B">
        <w:rPr>
          <w:rFonts w:hint="eastAsia"/>
          <w:b/>
          <w:bCs/>
        </w:rPr>
        <w:lastRenderedPageBreak/>
        <w:t>O</w:t>
      </w:r>
      <w:r w:rsidRPr="00CA754B">
        <w:rPr>
          <w:b/>
          <w:bCs/>
        </w:rPr>
        <w:t>bservation</w:t>
      </w:r>
      <w:r w:rsidR="00710A46">
        <w:rPr>
          <w:b/>
          <w:bCs/>
        </w:rPr>
        <w:t xml:space="preserve"> </w:t>
      </w:r>
      <w:r w:rsidR="000E007B">
        <w:rPr>
          <w:b/>
          <w:bCs/>
        </w:rPr>
        <w:t>2</w:t>
      </w:r>
      <w:r w:rsidRPr="00CA754B">
        <w:rPr>
          <w:b/>
          <w:bCs/>
        </w:rPr>
        <w:t>: For FR1 to FR1 inter-frequency prediction, the methodology could be different among baseline, evaluation, inference and monitoring procedures.</w:t>
      </w:r>
    </w:p>
    <w:p w14:paraId="7EAAD4D7" w14:textId="27E28CBA" w:rsidR="00983DB2" w:rsidRPr="00955D05" w:rsidRDefault="00983DB2" w:rsidP="006F7662">
      <w:pPr>
        <w:spacing w:beforeLines="50" w:before="120"/>
        <w:rPr>
          <w:b/>
          <w:bCs/>
        </w:rPr>
      </w:pPr>
      <w:r w:rsidRPr="00955D05">
        <w:rPr>
          <w:rFonts w:hint="eastAsia"/>
          <w:b/>
          <w:bCs/>
        </w:rPr>
        <w:t>P</w:t>
      </w:r>
      <w:r w:rsidRPr="00955D05">
        <w:rPr>
          <w:b/>
          <w:bCs/>
        </w:rPr>
        <w:t>roposal</w:t>
      </w:r>
      <w:r w:rsidR="007417B4">
        <w:rPr>
          <w:b/>
          <w:bCs/>
        </w:rPr>
        <w:t xml:space="preserve"> </w:t>
      </w:r>
      <w:r w:rsidR="000E007B">
        <w:rPr>
          <w:b/>
          <w:bCs/>
        </w:rPr>
        <w:t>7</w:t>
      </w:r>
      <w:r w:rsidRPr="00955D05">
        <w:rPr>
          <w:b/>
          <w:bCs/>
        </w:rPr>
        <w:t xml:space="preserve">: </w:t>
      </w:r>
      <w:r w:rsidR="005359C5">
        <w:rPr>
          <w:b/>
          <w:bCs/>
        </w:rPr>
        <w:t>For</w:t>
      </w:r>
      <w:r w:rsidRPr="00955D05">
        <w:rPr>
          <w:b/>
          <w:bCs/>
        </w:rPr>
        <w:t xml:space="preserve"> FR1 To FR1 inter-frequency prediction</w:t>
      </w:r>
      <w:r w:rsidR="005359C5">
        <w:rPr>
          <w:b/>
          <w:bCs/>
        </w:rPr>
        <w:t xml:space="preserve">, same model should be applied for evaluation, inference and monitoring </w:t>
      </w:r>
      <w:r w:rsidR="00FB4025">
        <w:rPr>
          <w:b/>
          <w:bCs/>
        </w:rPr>
        <w:t>procedure.</w:t>
      </w:r>
    </w:p>
    <w:p w14:paraId="78F90C0A" w14:textId="77777777" w:rsidR="00230ECA" w:rsidRPr="00A33A57" w:rsidRDefault="00474A4F" w:rsidP="00A33A57">
      <w:pPr>
        <w:pStyle w:val="2"/>
        <w:tabs>
          <w:tab w:val="clear" w:pos="576"/>
        </w:tabs>
        <w:rPr>
          <w:rFonts w:cs="Arial"/>
          <w:lang w:val="en-US" w:bidi="en-US"/>
        </w:rPr>
      </w:pPr>
      <w:r w:rsidRPr="00A33A57">
        <w:rPr>
          <w:rFonts w:cs="Arial"/>
          <w:lang w:val="en-US" w:bidi="en-US"/>
        </w:rPr>
        <w:t>L3 beam level measurement prediction</w:t>
      </w:r>
    </w:p>
    <w:p w14:paraId="054FE402" w14:textId="220D3014" w:rsidR="00230ECA" w:rsidRDefault="00474A4F">
      <w:r>
        <w:rPr>
          <w:rFonts w:hint="eastAsia"/>
        </w:rPr>
        <w:t>T</w:t>
      </w:r>
      <w:r>
        <w:t xml:space="preserve">he index of reference signal </w:t>
      </w:r>
      <w:r w:rsidR="00A7551F">
        <w:t xml:space="preserve">along with its </w:t>
      </w:r>
      <w:r>
        <w:t xml:space="preserve">L3 beam level measurement results can be reported in measurement report. The L3 beam measurement result can be used </w:t>
      </w:r>
      <w:r w:rsidR="00A7551F">
        <w:t>e.g.,</w:t>
      </w:r>
      <w:r>
        <w:t xml:space="preserve"> to select right PRACH resource. </w:t>
      </w:r>
      <w:r w:rsidR="00A7551F">
        <w:t>I</w:t>
      </w:r>
      <w:r>
        <w:t xml:space="preserve">t is sort of optional information i.e. not critical for mobility procedure. We think L3 beam level measurement prediction </w:t>
      </w:r>
      <w:r w:rsidR="00A7551F">
        <w:t xml:space="preserve">can be put </w:t>
      </w:r>
      <w:r>
        <w:t xml:space="preserve">on the table. But RAN2 should focus on evaluation cases with </w:t>
      </w:r>
      <w:r w:rsidR="000C4E06">
        <w:t xml:space="preserve">cell level </w:t>
      </w:r>
      <w:r w:rsidR="00A7551F">
        <w:t>measurement.</w:t>
      </w:r>
    </w:p>
    <w:p w14:paraId="64EAC451" w14:textId="72EAA4A3" w:rsidR="00230ECA" w:rsidRDefault="00474A4F">
      <w:pPr>
        <w:rPr>
          <w:b/>
        </w:rPr>
      </w:pPr>
      <w:r>
        <w:rPr>
          <w:rFonts w:hint="eastAsia"/>
          <w:b/>
        </w:rPr>
        <w:t>P</w:t>
      </w:r>
      <w:r>
        <w:rPr>
          <w:b/>
        </w:rPr>
        <w:t>roposal</w:t>
      </w:r>
      <w:r w:rsidR="00710A46">
        <w:rPr>
          <w:b/>
        </w:rPr>
        <w:t xml:space="preserve"> 8</w:t>
      </w:r>
      <w:r>
        <w:rPr>
          <w:b/>
        </w:rPr>
        <w:t>:</w:t>
      </w:r>
      <w:r w:rsidR="00752698">
        <w:rPr>
          <w:b/>
        </w:rPr>
        <w:t xml:space="preserve"> </w:t>
      </w:r>
      <w:r>
        <w:rPr>
          <w:b/>
        </w:rPr>
        <w:t>L3 beam level measurement</w:t>
      </w:r>
      <w:r w:rsidR="00A7551F">
        <w:rPr>
          <w:b/>
        </w:rPr>
        <w:t xml:space="preserve"> prediction</w:t>
      </w:r>
      <w:r>
        <w:rPr>
          <w:b/>
        </w:rPr>
        <w:t xml:space="preserve"> can be addressed </w:t>
      </w:r>
      <w:r w:rsidR="00B9654C">
        <w:rPr>
          <w:b/>
        </w:rPr>
        <w:t>after L3 cell level measurement use case</w:t>
      </w:r>
    </w:p>
    <w:p w14:paraId="49ED60D7" w14:textId="556F8CE4" w:rsidR="00480433" w:rsidRDefault="00474A4F">
      <w:r>
        <w:t xml:space="preserve">The L3 beam level measurement is firstly L3 filtered based on L1 beam level measurement of the same beam and then subset of them is picked based on either </w:t>
      </w:r>
      <w:r>
        <w:rPr>
          <w:i/>
        </w:rPr>
        <w:t>absThreshSS-BlocksConsolidation</w:t>
      </w:r>
      <w:r>
        <w:t xml:space="preserve"> or </w:t>
      </w:r>
      <w:r>
        <w:rPr>
          <w:i/>
        </w:rPr>
        <w:t>absThreshCSI-RS-Consolidation</w:t>
      </w:r>
      <w:r>
        <w:t>.</w:t>
      </w:r>
      <w:r w:rsidR="00752698">
        <w:t xml:space="preserve"> </w:t>
      </w:r>
      <w:r w:rsidR="005C6A3F">
        <w:t>T</w:t>
      </w:r>
      <w:r w:rsidR="006361E9">
        <w:t xml:space="preserve">echnically all the agreed evaluation scenarios are also applicable for L3 beam level measurement. </w:t>
      </w:r>
      <w:r w:rsidR="00480433">
        <w:rPr>
          <w:rFonts w:hint="eastAsia"/>
        </w:rPr>
        <w:t>A</w:t>
      </w:r>
      <w:r w:rsidR="00480433">
        <w:t>s for sub cases, we can also have 3 sub cases:</w:t>
      </w:r>
    </w:p>
    <w:p w14:paraId="311D524B" w14:textId="53FE362A" w:rsidR="00480433" w:rsidRDefault="00480433" w:rsidP="00480433">
      <w:pPr>
        <w:pStyle w:val="ac"/>
        <w:numPr>
          <w:ilvl w:val="0"/>
          <w:numId w:val="35"/>
        </w:numPr>
        <w:ind w:firstLineChars="0"/>
      </w:pPr>
      <w:r>
        <w:rPr>
          <w:rFonts w:hint="eastAsia"/>
        </w:rPr>
        <w:t>L</w:t>
      </w:r>
      <w:r>
        <w:t xml:space="preserve">1 beam level measurement to </w:t>
      </w:r>
      <w:r>
        <w:rPr>
          <w:rFonts w:hint="eastAsia"/>
        </w:rPr>
        <w:t>L</w:t>
      </w:r>
      <w:r>
        <w:t>1 beam level measurement and then L3 beam level measurement</w:t>
      </w:r>
    </w:p>
    <w:p w14:paraId="1D9F7123" w14:textId="62B1E8BB" w:rsidR="00480433" w:rsidRDefault="00480433" w:rsidP="00480433">
      <w:pPr>
        <w:pStyle w:val="ac"/>
        <w:numPr>
          <w:ilvl w:val="0"/>
          <w:numId w:val="35"/>
        </w:numPr>
        <w:ind w:firstLineChars="0"/>
      </w:pPr>
      <w:r>
        <w:rPr>
          <w:rFonts w:hint="eastAsia"/>
        </w:rPr>
        <w:t>L</w:t>
      </w:r>
      <w:r>
        <w:t>3 beam level measurement to L3 beam level measurement</w:t>
      </w:r>
    </w:p>
    <w:p w14:paraId="7A8FEC04" w14:textId="0575EF6F" w:rsidR="00480433" w:rsidRDefault="00480433" w:rsidP="00480433">
      <w:pPr>
        <w:pStyle w:val="ac"/>
        <w:numPr>
          <w:ilvl w:val="0"/>
          <w:numId w:val="35"/>
        </w:numPr>
        <w:ind w:firstLineChars="0"/>
      </w:pPr>
      <w:r>
        <w:rPr>
          <w:rFonts w:hint="eastAsia"/>
        </w:rPr>
        <w:t>L</w:t>
      </w:r>
      <w:r>
        <w:t>1 beam level measurement to L3 beam level measurement</w:t>
      </w:r>
    </w:p>
    <w:p w14:paraId="5A70DA06" w14:textId="48F25223" w:rsidR="00480433" w:rsidRPr="00480433" w:rsidRDefault="00911E81">
      <w:r>
        <w:t>In section 2.1.1</w:t>
      </w:r>
      <w:r w:rsidR="0006462C">
        <w:t xml:space="preserve"> </w:t>
      </w:r>
      <w:r>
        <w:t xml:space="preserve">RRM sub case 2 </w:t>
      </w:r>
      <w:r w:rsidR="0006462C">
        <w:t xml:space="preserve">with L3 cell level result as input </w:t>
      </w:r>
      <w:r>
        <w:t>is excluded for intra-frequency temporal domain case B. We think the reason behind is also applicable for beam level RRM sub case 2.</w:t>
      </w:r>
    </w:p>
    <w:p w14:paraId="2A514B2E" w14:textId="54833673" w:rsidR="006361E9" w:rsidRDefault="00911E81">
      <w:pPr>
        <w:rPr>
          <w:b/>
          <w:bCs/>
        </w:rPr>
      </w:pPr>
      <w:r>
        <w:rPr>
          <w:b/>
          <w:bCs/>
        </w:rPr>
        <w:t>Proposal</w:t>
      </w:r>
      <w:r w:rsidR="00710A46">
        <w:rPr>
          <w:b/>
          <w:bCs/>
        </w:rPr>
        <w:t xml:space="preserve"> 9</w:t>
      </w:r>
      <w:r w:rsidR="006361E9" w:rsidRPr="00F8214E">
        <w:rPr>
          <w:b/>
          <w:bCs/>
        </w:rPr>
        <w:t>: Agreed evaluation scenarios</w:t>
      </w:r>
      <w:r>
        <w:rPr>
          <w:b/>
          <w:bCs/>
        </w:rPr>
        <w:t xml:space="preserve"> for cell level RRM measurement</w:t>
      </w:r>
      <w:r w:rsidR="006361E9" w:rsidRPr="00F8214E">
        <w:rPr>
          <w:b/>
          <w:bCs/>
        </w:rPr>
        <w:t xml:space="preserve"> are applicable for L3 beam level measurement use case</w:t>
      </w:r>
    </w:p>
    <w:p w14:paraId="7B785038" w14:textId="3F4972DD" w:rsidR="00911E81" w:rsidRPr="00911E81" w:rsidRDefault="00911E81">
      <w:pPr>
        <w:rPr>
          <w:b/>
          <w:bCs/>
        </w:rPr>
      </w:pPr>
      <w:r>
        <w:rPr>
          <w:b/>
          <w:bCs/>
        </w:rPr>
        <w:t>Proposal</w:t>
      </w:r>
      <w:r w:rsidR="00710A46">
        <w:rPr>
          <w:b/>
          <w:bCs/>
        </w:rPr>
        <w:t xml:space="preserve"> 10</w:t>
      </w:r>
      <w:r>
        <w:rPr>
          <w:b/>
          <w:bCs/>
        </w:rPr>
        <w:t>: Beam level RRM sub case 2 is not applicable for intra-frequency temporal domain case B and intra-frequency spatial domain</w:t>
      </w:r>
    </w:p>
    <w:p w14:paraId="17FF98FB" w14:textId="5E6E916F" w:rsidR="006361E9" w:rsidRDefault="001D1401">
      <w:r>
        <w:t>The definition of prediction accuracy i.e., average difference of L3 cell level RSRP can modified to be average differen</w:t>
      </w:r>
      <w:r w:rsidR="00D414F5">
        <w:t>ce</w:t>
      </w:r>
      <w:r>
        <w:t xml:space="preserve"> of L3 beam level RSRP. As for measurement reduction rate, MRRS is not applicable because the measurement granularity </w:t>
      </w:r>
      <w:r w:rsidR="00D414F5">
        <w:t xml:space="preserve">per </w:t>
      </w:r>
      <w:r>
        <w:t>beam</w:t>
      </w:r>
      <w:r w:rsidR="00D414F5">
        <w:t>,</w:t>
      </w:r>
      <w:r>
        <w:t xml:space="preserve"> while MRRT is still applicable.</w:t>
      </w:r>
    </w:p>
    <w:p w14:paraId="0543849C" w14:textId="2994DFB7" w:rsidR="001D1401" w:rsidRPr="001D1401" w:rsidRDefault="0006462C">
      <w:pPr>
        <w:rPr>
          <w:b/>
          <w:bCs/>
        </w:rPr>
      </w:pPr>
      <w:r>
        <w:rPr>
          <w:b/>
          <w:bCs/>
        </w:rPr>
        <w:t>Proposal</w:t>
      </w:r>
      <w:r w:rsidR="00710A46">
        <w:rPr>
          <w:b/>
          <w:bCs/>
        </w:rPr>
        <w:t xml:space="preserve"> 11</w:t>
      </w:r>
      <w:r w:rsidR="001D1401" w:rsidRPr="001D1401">
        <w:rPr>
          <w:b/>
          <w:bCs/>
        </w:rPr>
        <w:t>: MRRT is applicable for L3 beam level measurement while MRRS is not.</w:t>
      </w:r>
    </w:p>
    <w:p w14:paraId="149CDC8C" w14:textId="4BDFF8A9" w:rsidR="00230ECA" w:rsidRDefault="001D1401" w:rsidP="00F8214E">
      <w:pPr>
        <w:rPr>
          <w:b/>
          <w:bCs/>
        </w:rPr>
      </w:pPr>
      <w:r w:rsidRPr="001D1401">
        <w:rPr>
          <w:b/>
          <w:bCs/>
        </w:rPr>
        <w:t>Proposal</w:t>
      </w:r>
      <w:r w:rsidR="00710A46">
        <w:rPr>
          <w:b/>
          <w:bCs/>
        </w:rPr>
        <w:t xml:space="preserve"> 12</w:t>
      </w:r>
      <w:r w:rsidRPr="001D1401">
        <w:rPr>
          <w:b/>
          <w:bCs/>
        </w:rPr>
        <w:t xml:space="preserve">: </w:t>
      </w:r>
      <w:r w:rsidR="0006462C">
        <w:rPr>
          <w:b/>
          <w:bCs/>
        </w:rPr>
        <w:t>T</w:t>
      </w:r>
      <w:r w:rsidRPr="001D1401">
        <w:rPr>
          <w:b/>
          <w:bCs/>
        </w:rPr>
        <w:t>he prediction accuracy of L3 beam level measurement is defined as average difference of L3 beam level RSRP</w:t>
      </w:r>
    </w:p>
    <w:p w14:paraId="141606F2" w14:textId="77777777" w:rsidR="00387AC5" w:rsidRPr="00387AC5" w:rsidRDefault="00387AC5" w:rsidP="00387AC5">
      <w:pPr>
        <w:pStyle w:val="2"/>
        <w:tabs>
          <w:tab w:val="clear" w:pos="576"/>
        </w:tabs>
        <w:rPr>
          <w:rFonts w:cs="Arial"/>
          <w:lang w:val="en-US" w:bidi="en-US"/>
        </w:rPr>
      </w:pPr>
      <w:r w:rsidRPr="00387AC5">
        <w:rPr>
          <w:rFonts w:cs="Arial"/>
          <w:lang w:val="en-US" w:bidi="en-US"/>
        </w:rPr>
        <w:t>Cluster approach</w:t>
      </w:r>
    </w:p>
    <w:p w14:paraId="2C1534D4" w14:textId="3DCFE555" w:rsidR="00387AC5" w:rsidRDefault="00387AC5" w:rsidP="00387AC5">
      <w:pPr>
        <w:spacing w:beforeLines="50" w:before="120"/>
        <w:rPr>
          <w:bCs/>
        </w:rPr>
      </w:pPr>
      <w:r>
        <w:rPr>
          <w:rFonts w:hint="eastAsia"/>
          <w:bCs/>
        </w:rPr>
        <w:t>A</w:t>
      </w:r>
      <w:r>
        <w:rPr>
          <w:bCs/>
        </w:rPr>
        <w:t>t RAN2#126 meeting, RAN2 agreed that “</w:t>
      </w:r>
      <w:r w:rsidRPr="00C90C41">
        <w:rPr>
          <w:bCs/>
        </w:rPr>
        <w:t>To define cluster approach at least based on the number of input cells, number of output cells and their relationship in temporal domain, spatial domain and frequency domain</w:t>
      </w:r>
      <w:r>
        <w:rPr>
          <w:bCs/>
        </w:rPr>
        <w:t>”. For prediction in any domain, it is not feasible if UE is out of the coverage of concerned cells. And within one frequency layer, usually UE is in the coverage of up to 3 cells of one frequency layer regardless whether they are co-located or not as illustrated in Figure 2.</w:t>
      </w:r>
      <w:r w:rsidR="00517B14">
        <w:rPr>
          <w:bCs/>
        </w:rPr>
        <w:t>3-1</w:t>
      </w:r>
      <w:r>
        <w:rPr>
          <w:bCs/>
        </w:rPr>
        <w:t xml:space="preserve">. It means the maximum number of input cells and output cells should be &lt;=3. For FR1 to FR1 inter-frequency prediction, because the input cells and output cells are from different frequency and hence the maximum number of input cells and output cells should be also &lt;=3. Note this view is mainly from inference perspective. </w:t>
      </w:r>
    </w:p>
    <w:p w14:paraId="4498645C" w14:textId="77777777" w:rsidR="00387AC5" w:rsidRDefault="00387AC5" w:rsidP="00387AC5">
      <w:pPr>
        <w:spacing w:beforeLines="50" w:before="120"/>
        <w:jc w:val="center"/>
      </w:pPr>
      <w:r>
        <w:object w:dxaOrig="4635" w:dyaOrig="4590" w14:anchorId="182D11F1">
          <v:shape id="_x0000_i1033" type="#_x0000_t75" style="width:105.3pt;height:105.7pt" o:ole="">
            <v:imagedata r:id="rId23" o:title=""/>
          </v:shape>
          <o:OLEObject Type="Embed" ProgID="Visio.Drawing.15" ShapeID="_x0000_i1033" DrawAspect="Content" ObjectID="_1784636205" r:id="rId24"/>
        </w:object>
      </w:r>
    </w:p>
    <w:p w14:paraId="254EF1DE" w14:textId="08FD352C" w:rsidR="00387AC5" w:rsidRDefault="00387AC5" w:rsidP="00387AC5">
      <w:pPr>
        <w:spacing w:beforeLines="50" w:before="120"/>
        <w:jc w:val="center"/>
        <w:rPr>
          <w:bCs/>
        </w:rPr>
      </w:pPr>
      <w:r>
        <w:rPr>
          <w:rFonts w:hint="eastAsia"/>
        </w:rPr>
        <w:t>F</w:t>
      </w:r>
      <w:r>
        <w:t>igure 2.</w:t>
      </w:r>
      <w:r w:rsidR="00517B14">
        <w:t>3</w:t>
      </w:r>
      <w:r>
        <w:t>-</w:t>
      </w:r>
      <w:r w:rsidR="00517B14">
        <w:t>1</w:t>
      </w:r>
    </w:p>
    <w:p w14:paraId="60A1A052" w14:textId="3298920D" w:rsidR="00387AC5" w:rsidRPr="0017726E" w:rsidRDefault="00387AC5" w:rsidP="00387AC5">
      <w:pPr>
        <w:spacing w:beforeLines="50" w:before="120"/>
        <w:rPr>
          <w:b/>
        </w:rPr>
      </w:pPr>
      <w:r w:rsidRPr="0017726E">
        <w:rPr>
          <w:b/>
        </w:rPr>
        <w:lastRenderedPageBreak/>
        <w:t>Proposal</w:t>
      </w:r>
      <w:r w:rsidR="00710A46">
        <w:rPr>
          <w:b/>
        </w:rPr>
        <w:t xml:space="preserve"> 13</w:t>
      </w:r>
      <w:r w:rsidRPr="0017726E">
        <w:rPr>
          <w:b/>
        </w:rPr>
        <w:t>: For cluster approach the maximum number of input cells or output cells of one frequency</w:t>
      </w:r>
      <w:r w:rsidR="00517B14">
        <w:rPr>
          <w:b/>
        </w:rPr>
        <w:t xml:space="preserve"> layer</w:t>
      </w:r>
      <w:r w:rsidRPr="0017726E">
        <w:rPr>
          <w:b/>
        </w:rPr>
        <w:t xml:space="preserve"> should be &lt;=3</w:t>
      </w:r>
    </w:p>
    <w:p w14:paraId="4A96D9C4" w14:textId="3CA2E792" w:rsidR="00387AC5" w:rsidRDefault="00371AD2" w:rsidP="0006462C">
      <w:pPr>
        <w:spacing w:beforeLines="50" w:before="120"/>
        <w:rPr>
          <w:lang w:val="en-US"/>
        </w:rPr>
      </w:pPr>
      <w:r>
        <w:rPr>
          <w:lang w:val="en-US"/>
        </w:rPr>
        <w:t xml:space="preserve">For inter-frequency prediction, it is straight way that input cells and output cells are located in different frequency layer. For intra-frequency prediction output cells could cover at least input cells. The question is whether cell(s) in addition to input cell(s) can be also predicted. We intend to think it is difficult for UE sided model and for generalization study. </w:t>
      </w:r>
    </w:p>
    <w:p w14:paraId="509A9CF6" w14:textId="4EB20A9C" w:rsidR="00371AD2" w:rsidRDefault="00371AD2" w:rsidP="0006462C">
      <w:pPr>
        <w:spacing w:beforeLines="50" w:before="120"/>
        <w:rPr>
          <w:lang w:val="en-US"/>
        </w:rPr>
      </w:pPr>
      <w:r>
        <w:rPr>
          <w:lang w:val="en-US"/>
        </w:rPr>
        <w:t>For both inter-frequency and intra-frequency prediction, it may not be necessary to limited either input and/or output cell within same site i.e. co-location is not necessary the condition for prediction.</w:t>
      </w:r>
    </w:p>
    <w:p w14:paraId="064BD766" w14:textId="0EEB1103" w:rsidR="00371AD2" w:rsidRPr="00371AD2" w:rsidRDefault="00371AD2" w:rsidP="0006462C">
      <w:pPr>
        <w:spacing w:beforeLines="50" w:before="120"/>
        <w:rPr>
          <w:b/>
          <w:bCs/>
          <w:lang w:val="en-US"/>
        </w:rPr>
      </w:pPr>
      <w:r w:rsidRPr="00371AD2">
        <w:rPr>
          <w:b/>
          <w:bCs/>
          <w:lang w:val="en-US"/>
        </w:rPr>
        <w:t>Proposal</w:t>
      </w:r>
      <w:r w:rsidR="00710A46">
        <w:rPr>
          <w:b/>
          <w:bCs/>
          <w:lang w:val="en-US"/>
        </w:rPr>
        <w:t xml:space="preserve"> 14</w:t>
      </w:r>
      <w:r w:rsidRPr="00371AD2">
        <w:rPr>
          <w:b/>
          <w:bCs/>
          <w:lang w:val="en-US"/>
        </w:rPr>
        <w:t xml:space="preserve">: For cluster approach of inter-frequency prediction, input cell(s) and output cells are located in different frequency layer and can be </w:t>
      </w:r>
      <w:r w:rsidR="008162E3" w:rsidRPr="00371AD2">
        <w:rPr>
          <w:b/>
          <w:bCs/>
          <w:lang w:val="en-US"/>
        </w:rPr>
        <w:t xml:space="preserve">co-located </w:t>
      </w:r>
      <w:r w:rsidR="008162E3">
        <w:rPr>
          <w:b/>
          <w:bCs/>
          <w:lang w:val="en-US"/>
        </w:rPr>
        <w:t xml:space="preserve">or </w:t>
      </w:r>
      <w:r w:rsidRPr="00371AD2">
        <w:rPr>
          <w:b/>
          <w:bCs/>
          <w:lang w:val="en-US"/>
        </w:rPr>
        <w:t>non-co-located.</w:t>
      </w:r>
    </w:p>
    <w:p w14:paraId="722D6533" w14:textId="6AF85DAE" w:rsidR="00371AD2" w:rsidRPr="00371AD2" w:rsidRDefault="00371AD2" w:rsidP="0006462C">
      <w:pPr>
        <w:spacing w:beforeLines="50" w:before="120"/>
        <w:rPr>
          <w:b/>
          <w:bCs/>
          <w:lang w:val="en-US"/>
        </w:rPr>
      </w:pPr>
      <w:r w:rsidRPr="00371AD2">
        <w:rPr>
          <w:rFonts w:hint="eastAsia"/>
          <w:b/>
          <w:bCs/>
          <w:lang w:val="en-US"/>
        </w:rPr>
        <w:t>P</w:t>
      </w:r>
      <w:r w:rsidRPr="00371AD2">
        <w:rPr>
          <w:b/>
          <w:bCs/>
          <w:lang w:val="en-US"/>
        </w:rPr>
        <w:t>roposal</w:t>
      </w:r>
      <w:r w:rsidR="00710A46">
        <w:rPr>
          <w:b/>
          <w:bCs/>
          <w:lang w:val="en-US"/>
        </w:rPr>
        <w:t xml:space="preserve"> 15</w:t>
      </w:r>
      <w:r w:rsidRPr="00371AD2">
        <w:rPr>
          <w:b/>
          <w:bCs/>
          <w:lang w:val="en-US"/>
        </w:rPr>
        <w:t>: For cluster approach of intra-frequency prediction, output cell(s) can be the same set of input cell(s).</w:t>
      </w:r>
    </w:p>
    <w:p w14:paraId="60C5AB44" w14:textId="13918F26" w:rsidR="00230ECA" w:rsidRDefault="00474A4F">
      <w:pPr>
        <w:pStyle w:val="1"/>
      </w:pPr>
      <w:r>
        <w:t>Conclusion</w:t>
      </w:r>
    </w:p>
    <w:p w14:paraId="61933BBE" w14:textId="77777777" w:rsidR="00262D3B" w:rsidRPr="00235EAD" w:rsidRDefault="00262D3B" w:rsidP="00262D3B">
      <w:pPr>
        <w:spacing w:beforeLines="50" w:before="120"/>
        <w:rPr>
          <w:b/>
        </w:rPr>
      </w:pPr>
      <w:r w:rsidRPr="00235EAD">
        <w:rPr>
          <w:b/>
        </w:rPr>
        <w:t>Observation 1: there is mainly two ways to do L1/L3 filtering as illustrated in Figure 2.1-1 and Figure 2.1-2</w:t>
      </w:r>
    </w:p>
    <w:p w14:paraId="72FD44FE" w14:textId="77777777" w:rsidR="00262D3B" w:rsidRPr="00C560DE" w:rsidRDefault="00262D3B" w:rsidP="00262D3B">
      <w:pPr>
        <w:spacing w:beforeLines="50" w:before="120"/>
        <w:rPr>
          <w:b/>
        </w:rPr>
      </w:pPr>
      <w:r w:rsidRPr="00C560DE">
        <w:rPr>
          <w:b/>
        </w:rPr>
        <w:t>Proposal</w:t>
      </w:r>
      <w:r>
        <w:rPr>
          <w:b/>
        </w:rPr>
        <w:t xml:space="preserve"> 1</w:t>
      </w:r>
      <w:r w:rsidRPr="00C560DE">
        <w:rPr>
          <w:b/>
        </w:rPr>
        <w:t>: In the definition of RRM sub cases,</w:t>
      </w:r>
      <w:r>
        <w:rPr>
          <w:b/>
        </w:rPr>
        <w:t xml:space="preserve"> RAN2 confirms</w:t>
      </w:r>
      <w:r w:rsidRPr="00C560DE">
        <w:rPr>
          <w:b/>
        </w:rPr>
        <w:t xml:space="preserve"> the </w:t>
      </w:r>
      <w:r>
        <w:rPr>
          <w:b/>
        </w:rPr>
        <w:t xml:space="preserve">output </w:t>
      </w:r>
      <w:r w:rsidRPr="00C560DE">
        <w:rPr>
          <w:b/>
        </w:rPr>
        <w:t>cell level result refer</w:t>
      </w:r>
      <w:r>
        <w:rPr>
          <w:b/>
        </w:rPr>
        <w:t>s</w:t>
      </w:r>
      <w:r w:rsidRPr="00C560DE">
        <w:rPr>
          <w:b/>
        </w:rPr>
        <w:t xml:space="preserve"> to L3 filtered cell level measurement result</w:t>
      </w:r>
    </w:p>
    <w:p w14:paraId="58FD3058" w14:textId="77777777" w:rsidR="00262D3B" w:rsidRDefault="00262D3B" w:rsidP="00262D3B">
      <w:pPr>
        <w:spacing w:beforeLines="50" w:before="120"/>
        <w:rPr>
          <w:b/>
        </w:rPr>
      </w:pPr>
      <w:r>
        <w:rPr>
          <w:rFonts w:hint="eastAsia"/>
          <w:b/>
        </w:rPr>
        <w:t>P</w:t>
      </w:r>
      <w:r>
        <w:rPr>
          <w:b/>
        </w:rPr>
        <w:t>roposal 2: For RRM sub use case2, both L1 and L3 cell level measurement result can be input of the model</w:t>
      </w:r>
    </w:p>
    <w:p w14:paraId="04348101" w14:textId="77777777" w:rsidR="00262D3B" w:rsidRDefault="00262D3B" w:rsidP="00262D3B">
      <w:pPr>
        <w:spacing w:beforeLines="50" w:before="120"/>
        <w:rPr>
          <w:b/>
        </w:rPr>
      </w:pPr>
      <w:r>
        <w:rPr>
          <w:rFonts w:hint="eastAsia"/>
          <w:b/>
        </w:rPr>
        <w:t>P</w:t>
      </w:r>
      <w:r>
        <w:rPr>
          <w:b/>
        </w:rPr>
        <w:t>roposal 3: When L1 cell level measurement result is input, sub use case 2 is applicable for temporal and frequency domain prediction but not spatial domain prediction</w:t>
      </w:r>
    </w:p>
    <w:p w14:paraId="6D45BF74" w14:textId="77777777" w:rsidR="00262D3B" w:rsidRDefault="00262D3B" w:rsidP="00262D3B">
      <w:pPr>
        <w:spacing w:beforeLines="50" w:before="120"/>
        <w:rPr>
          <w:bCs/>
        </w:rPr>
      </w:pPr>
      <w:r w:rsidRPr="00337BB7">
        <w:rPr>
          <w:rFonts w:hint="eastAsia"/>
          <w:b/>
        </w:rPr>
        <w:t>P</w:t>
      </w:r>
      <w:r w:rsidRPr="00337BB7">
        <w:rPr>
          <w:b/>
        </w:rPr>
        <w:t>roposal</w:t>
      </w:r>
      <w:r>
        <w:rPr>
          <w:b/>
        </w:rPr>
        <w:t xml:space="preserve"> 4</w:t>
      </w:r>
      <w:r w:rsidRPr="00337BB7">
        <w:rPr>
          <w:b/>
        </w:rPr>
        <w:t xml:space="preserve">: </w:t>
      </w:r>
      <w:r>
        <w:rPr>
          <w:b/>
        </w:rPr>
        <w:t xml:space="preserve">For </w:t>
      </w:r>
      <w:r w:rsidRPr="00337BB7">
        <w:rPr>
          <w:b/>
        </w:rPr>
        <w:t xml:space="preserve">RRM sub </w:t>
      </w:r>
      <w:r>
        <w:rPr>
          <w:b/>
        </w:rPr>
        <w:t xml:space="preserve">use </w:t>
      </w:r>
      <w:r w:rsidRPr="00337BB7">
        <w:rPr>
          <w:b/>
        </w:rPr>
        <w:t>case 2</w:t>
      </w:r>
      <w:r>
        <w:rPr>
          <w:b/>
        </w:rPr>
        <w:t>, L1 instead of L3 cell level measurement result should be</w:t>
      </w:r>
      <w:r w:rsidRPr="00337BB7">
        <w:rPr>
          <w:b/>
        </w:rPr>
        <w:t xml:space="preserve"> </w:t>
      </w:r>
      <w:r>
        <w:rPr>
          <w:b/>
        </w:rPr>
        <w:t>applied</w:t>
      </w:r>
      <w:r w:rsidRPr="00337BB7">
        <w:rPr>
          <w:b/>
        </w:rPr>
        <w:t xml:space="preserve"> for intra-frequency temporal domain</w:t>
      </w:r>
      <w:r>
        <w:rPr>
          <w:b/>
        </w:rPr>
        <w:t xml:space="preserve"> case B </w:t>
      </w:r>
      <w:r>
        <w:rPr>
          <w:rFonts w:hint="eastAsia"/>
          <w:b/>
        </w:rPr>
        <w:t>a</w:t>
      </w:r>
      <w:r>
        <w:rPr>
          <w:b/>
        </w:rPr>
        <w:t>s model input.</w:t>
      </w:r>
    </w:p>
    <w:p w14:paraId="39B63E8D" w14:textId="77777777" w:rsidR="00262D3B" w:rsidRPr="0064538E" w:rsidRDefault="00262D3B" w:rsidP="00262D3B">
      <w:pPr>
        <w:spacing w:beforeLines="50" w:before="120"/>
        <w:rPr>
          <w:b/>
        </w:rPr>
      </w:pPr>
      <w:r w:rsidRPr="0064538E">
        <w:rPr>
          <w:rFonts w:hint="eastAsia"/>
          <w:b/>
        </w:rPr>
        <w:t>P</w:t>
      </w:r>
      <w:r w:rsidRPr="0064538E">
        <w:rPr>
          <w:b/>
        </w:rPr>
        <w:t>roposal</w:t>
      </w:r>
      <w:r>
        <w:rPr>
          <w:b/>
        </w:rPr>
        <w:t xml:space="preserve"> 6</w:t>
      </w:r>
      <w:r w:rsidRPr="0064538E">
        <w:rPr>
          <w:b/>
        </w:rPr>
        <w:t xml:space="preserve">: RAN2 confirm </w:t>
      </w:r>
      <w:r w:rsidRPr="00DE7F23">
        <w:rPr>
          <w:b/>
        </w:rPr>
        <w:t>Intra-frequency intra-cell temporal domain case B prediction is evaluated for 1st study goal by predicting a sub set of measurement instances in temporal domain of the same cell. The detail TDM pattern e.g. as illustrate in Figure 2.1-1 is up to implementation.</w:t>
      </w:r>
    </w:p>
    <w:p w14:paraId="2F05771B" w14:textId="77777777" w:rsidR="00262D3B" w:rsidRPr="00CA754B" w:rsidRDefault="00262D3B" w:rsidP="00262D3B">
      <w:pPr>
        <w:spacing w:beforeLines="50" w:before="120"/>
        <w:rPr>
          <w:b/>
          <w:bCs/>
        </w:rPr>
      </w:pPr>
      <w:r w:rsidRPr="00CA754B">
        <w:rPr>
          <w:rFonts w:hint="eastAsia"/>
          <w:b/>
          <w:bCs/>
        </w:rPr>
        <w:t>O</w:t>
      </w:r>
      <w:r w:rsidRPr="00CA754B">
        <w:rPr>
          <w:b/>
          <w:bCs/>
        </w:rPr>
        <w:t>bservation</w:t>
      </w:r>
      <w:r>
        <w:rPr>
          <w:b/>
          <w:bCs/>
        </w:rPr>
        <w:t xml:space="preserve"> 2</w:t>
      </w:r>
      <w:r w:rsidRPr="00CA754B">
        <w:rPr>
          <w:b/>
          <w:bCs/>
        </w:rPr>
        <w:t>: For FR1 to FR1 inter-frequency prediction, the methodology could be different among baseline, evaluation, inference and monitoring procedures.</w:t>
      </w:r>
    </w:p>
    <w:p w14:paraId="7FB7248A" w14:textId="77777777" w:rsidR="00262D3B" w:rsidRPr="00955D05" w:rsidRDefault="00262D3B" w:rsidP="00262D3B">
      <w:pPr>
        <w:spacing w:beforeLines="50" w:before="120"/>
        <w:rPr>
          <w:b/>
          <w:bCs/>
        </w:rPr>
      </w:pPr>
      <w:r w:rsidRPr="00955D05">
        <w:rPr>
          <w:rFonts w:hint="eastAsia"/>
          <w:b/>
          <w:bCs/>
        </w:rPr>
        <w:t>P</w:t>
      </w:r>
      <w:r w:rsidRPr="00955D05">
        <w:rPr>
          <w:b/>
          <w:bCs/>
        </w:rPr>
        <w:t>roposal</w:t>
      </w:r>
      <w:r>
        <w:rPr>
          <w:b/>
          <w:bCs/>
        </w:rPr>
        <w:t xml:space="preserve"> 7</w:t>
      </w:r>
      <w:r w:rsidRPr="00955D05">
        <w:rPr>
          <w:b/>
          <w:bCs/>
        </w:rPr>
        <w:t xml:space="preserve">: </w:t>
      </w:r>
      <w:r>
        <w:rPr>
          <w:b/>
          <w:bCs/>
        </w:rPr>
        <w:t>For</w:t>
      </w:r>
      <w:r w:rsidRPr="00955D05">
        <w:rPr>
          <w:b/>
          <w:bCs/>
        </w:rPr>
        <w:t xml:space="preserve"> FR1 To FR1 inter-frequency prediction</w:t>
      </w:r>
      <w:r>
        <w:rPr>
          <w:b/>
          <w:bCs/>
        </w:rPr>
        <w:t>, same model should be applied for evaluation, inference and monitoring procedure.</w:t>
      </w:r>
    </w:p>
    <w:p w14:paraId="429A9921" w14:textId="77777777" w:rsidR="00262D3B" w:rsidRDefault="00262D3B" w:rsidP="00262D3B">
      <w:pPr>
        <w:rPr>
          <w:b/>
          <w:bCs/>
        </w:rPr>
      </w:pPr>
      <w:r>
        <w:rPr>
          <w:b/>
          <w:bCs/>
        </w:rPr>
        <w:t>Proposal 9</w:t>
      </w:r>
      <w:r w:rsidRPr="00F8214E">
        <w:rPr>
          <w:b/>
          <w:bCs/>
        </w:rPr>
        <w:t>: Agreed evaluation scenarios</w:t>
      </w:r>
      <w:r>
        <w:rPr>
          <w:b/>
          <w:bCs/>
        </w:rPr>
        <w:t xml:space="preserve"> for cell level RRM measurement</w:t>
      </w:r>
      <w:r w:rsidRPr="00F8214E">
        <w:rPr>
          <w:b/>
          <w:bCs/>
        </w:rPr>
        <w:t xml:space="preserve"> are applicable for L3 beam level measurement use case</w:t>
      </w:r>
    </w:p>
    <w:p w14:paraId="3FF15331" w14:textId="77777777" w:rsidR="00262D3B" w:rsidRPr="00911E81" w:rsidRDefault="00262D3B" w:rsidP="00262D3B">
      <w:pPr>
        <w:rPr>
          <w:b/>
          <w:bCs/>
        </w:rPr>
      </w:pPr>
      <w:r>
        <w:rPr>
          <w:b/>
          <w:bCs/>
        </w:rPr>
        <w:t>Proposal 10: Beam level RRM sub case 2 is not applicable for intra-frequency temporal domain case B and intra-frequency spatial domain</w:t>
      </w:r>
    </w:p>
    <w:p w14:paraId="1004BAD7" w14:textId="77777777" w:rsidR="00262D3B" w:rsidRPr="001D1401" w:rsidRDefault="00262D3B" w:rsidP="00262D3B">
      <w:pPr>
        <w:rPr>
          <w:b/>
          <w:bCs/>
        </w:rPr>
      </w:pPr>
      <w:r>
        <w:rPr>
          <w:b/>
          <w:bCs/>
        </w:rPr>
        <w:t>Proposal 11</w:t>
      </w:r>
      <w:r w:rsidRPr="001D1401">
        <w:rPr>
          <w:b/>
          <w:bCs/>
        </w:rPr>
        <w:t>: MRRT is applicable for L3 beam level measurement while MRRS is not.</w:t>
      </w:r>
    </w:p>
    <w:p w14:paraId="20808A9F" w14:textId="77777777" w:rsidR="00262D3B" w:rsidRDefault="00262D3B" w:rsidP="00262D3B">
      <w:pPr>
        <w:rPr>
          <w:b/>
          <w:bCs/>
        </w:rPr>
      </w:pPr>
      <w:r w:rsidRPr="001D1401">
        <w:rPr>
          <w:b/>
          <w:bCs/>
        </w:rPr>
        <w:t>Proposal</w:t>
      </w:r>
      <w:r>
        <w:rPr>
          <w:b/>
          <w:bCs/>
        </w:rPr>
        <w:t xml:space="preserve"> 12</w:t>
      </w:r>
      <w:r w:rsidRPr="001D1401">
        <w:rPr>
          <w:b/>
          <w:bCs/>
        </w:rPr>
        <w:t xml:space="preserve">: </w:t>
      </w:r>
      <w:r>
        <w:rPr>
          <w:b/>
          <w:bCs/>
        </w:rPr>
        <w:t>T</w:t>
      </w:r>
      <w:r w:rsidRPr="001D1401">
        <w:rPr>
          <w:b/>
          <w:bCs/>
        </w:rPr>
        <w:t>he prediction accuracy of L3 beam level measurement is defined as average difference of L3 beam level RSRP</w:t>
      </w:r>
    </w:p>
    <w:p w14:paraId="467520D6" w14:textId="77777777" w:rsidR="00262D3B" w:rsidRPr="0017726E" w:rsidRDefault="00262D3B" w:rsidP="00262D3B">
      <w:pPr>
        <w:spacing w:beforeLines="50" w:before="120"/>
        <w:rPr>
          <w:b/>
        </w:rPr>
      </w:pPr>
      <w:r w:rsidRPr="0017726E">
        <w:rPr>
          <w:b/>
        </w:rPr>
        <w:t>Proposal</w:t>
      </w:r>
      <w:r>
        <w:rPr>
          <w:b/>
        </w:rPr>
        <w:t xml:space="preserve"> 13</w:t>
      </w:r>
      <w:r w:rsidRPr="0017726E">
        <w:rPr>
          <w:b/>
        </w:rPr>
        <w:t>: For cluster approach the maximum number of input cells or output cells of one frequency</w:t>
      </w:r>
      <w:r>
        <w:rPr>
          <w:b/>
        </w:rPr>
        <w:t xml:space="preserve"> layer</w:t>
      </w:r>
      <w:r w:rsidRPr="0017726E">
        <w:rPr>
          <w:b/>
        </w:rPr>
        <w:t xml:space="preserve"> should be &lt;=3</w:t>
      </w:r>
    </w:p>
    <w:p w14:paraId="2497878F" w14:textId="77777777" w:rsidR="00262D3B" w:rsidRPr="00371AD2" w:rsidRDefault="00262D3B" w:rsidP="00262D3B">
      <w:pPr>
        <w:spacing w:beforeLines="50" w:before="120"/>
        <w:rPr>
          <w:b/>
          <w:bCs/>
          <w:lang w:val="en-US"/>
        </w:rPr>
      </w:pPr>
      <w:r w:rsidRPr="00371AD2">
        <w:rPr>
          <w:b/>
          <w:bCs/>
          <w:lang w:val="en-US"/>
        </w:rPr>
        <w:t>Proposal</w:t>
      </w:r>
      <w:r>
        <w:rPr>
          <w:b/>
          <w:bCs/>
          <w:lang w:val="en-US"/>
        </w:rPr>
        <w:t xml:space="preserve"> 14</w:t>
      </w:r>
      <w:r w:rsidRPr="00371AD2">
        <w:rPr>
          <w:b/>
          <w:bCs/>
          <w:lang w:val="en-US"/>
        </w:rPr>
        <w:t xml:space="preserve">: For cluster approach of inter-frequency prediction, input cell(s) and output cells are located in different frequency layer and can be co-located </w:t>
      </w:r>
      <w:r>
        <w:rPr>
          <w:b/>
          <w:bCs/>
          <w:lang w:val="en-US"/>
        </w:rPr>
        <w:t xml:space="preserve">or </w:t>
      </w:r>
      <w:r w:rsidRPr="00371AD2">
        <w:rPr>
          <w:b/>
          <w:bCs/>
          <w:lang w:val="en-US"/>
        </w:rPr>
        <w:t>non-co-located.</w:t>
      </w:r>
    </w:p>
    <w:p w14:paraId="522D694A" w14:textId="5E03D59E" w:rsidR="00FC321F" w:rsidRPr="00262D3B" w:rsidRDefault="00262D3B" w:rsidP="00262D3B">
      <w:pPr>
        <w:spacing w:beforeLines="50" w:before="120"/>
        <w:rPr>
          <w:b/>
          <w:bCs/>
          <w:lang w:val="en-US"/>
        </w:rPr>
      </w:pPr>
      <w:r w:rsidRPr="00371AD2">
        <w:rPr>
          <w:rFonts w:hint="eastAsia"/>
          <w:b/>
          <w:bCs/>
          <w:lang w:val="en-US"/>
        </w:rPr>
        <w:t>P</w:t>
      </w:r>
      <w:r w:rsidRPr="00371AD2">
        <w:rPr>
          <w:b/>
          <w:bCs/>
          <w:lang w:val="en-US"/>
        </w:rPr>
        <w:t>roposal</w:t>
      </w:r>
      <w:r>
        <w:rPr>
          <w:b/>
          <w:bCs/>
          <w:lang w:val="en-US"/>
        </w:rPr>
        <w:t xml:space="preserve"> 15</w:t>
      </w:r>
      <w:r w:rsidRPr="00371AD2">
        <w:rPr>
          <w:b/>
          <w:bCs/>
          <w:lang w:val="en-US"/>
        </w:rPr>
        <w:t>: For cluster approach of intra-frequency prediction, output cell(s) can be the same set of input cell(s).</w:t>
      </w:r>
    </w:p>
    <w:p w14:paraId="34A51497" w14:textId="77777777" w:rsidR="00095300" w:rsidRPr="00095300" w:rsidRDefault="00474A4F" w:rsidP="00095300">
      <w:pPr>
        <w:pStyle w:val="1"/>
      </w:pPr>
      <w:bookmarkStart w:id="5" w:name="_Ref189809556"/>
      <w:bookmarkStart w:id="6" w:name="_Ref174151459"/>
      <w:bookmarkStart w:id="7" w:name="_Ref450865335"/>
      <w:r w:rsidRPr="00095300">
        <w:t>Reference</w:t>
      </w:r>
      <w:bookmarkEnd w:id="5"/>
      <w:bookmarkEnd w:id="6"/>
      <w:bookmarkEnd w:id="7"/>
    </w:p>
    <w:p w14:paraId="567F8AE0" w14:textId="0560849B" w:rsidR="00230ECA" w:rsidRDefault="00474A4F">
      <w:pPr>
        <w:rPr>
          <w:lang w:val="en-US" w:bidi="en-US"/>
        </w:rPr>
      </w:pPr>
      <w:r>
        <w:rPr>
          <w:lang w:val="en-US" w:bidi="en-US"/>
        </w:rPr>
        <w:t>[1] R2-2404713 Discussion on simulation assumptions of RRM measurement</w:t>
      </w:r>
      <w:r w:rsidR="00AC6B44">
        <w:rPr>
          <w:lang w:val="en-US" w:bidi="en-US"/>
        </w:rPr>
        <w:t xml:space="preserve"> OPPO</w:t>
      </w:r>
    </w:p>
    <w:sectPr w:rsidR="00230ECA">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FAB2" w14:textId="77777777" w:rsidR="00A7775F" w:rsidRDefault="00A7775F">
      <w:pPr>
        <w:spacing w:after="0"/>
      </w:pPr>
      <w:r>
        <w:separator/>
      </w:r>
    </w:p>
  </w:endnote>
  <w:endnote w:type="continuationSeparator" w:id="0">
    <w:p w14:paraId="71C4AA6E" w14:textId="77777777" w:rsidR="00A7775F" w:rsidRDefault="00A77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BAE4" w14:textId="77777777" w:rsidR="00230ECA" w:rsidRDefault="00474A4F">
    <w:pPr>
      <w:pStyle w:val="a6"/>
      <w:tabs>
        <w:tab w:val="center" w:pos="4820"/>
        <w:tab w:val="right" w:pos="9639"/>
      </w:tabs>
      <w:jc w:val="left"/>
    </w:pPr>
    <w:r>
      <w:tab/>
    </w:r>
    <w:r>
      <w:fldChar w:fldCharType="begin"/>
    </w:r>
    <w:r>
      <w:rPr>
        <w:rStyle w:val="a4"/>
      </w:rPr>
      <w:instrText>PAGE</w:instrText>
    </w:r>
    <w:r>
      <w:fldChar w:fldCharType="separate"/>
    </w:r>
    <w:r>
      <w:rPr>
        <w:rStyle w:val="a4"/>
      </w:rPr>
      <w:t>1</w:t>
    </w:r>
    <w:r>
      <w:fldChar w:fldCharType="end"/>
    </w:r>
    <w:r>
      <w:rPr>
        <w:rStyle w:val="a4"/>
      </w:rPr>
      <w:t>/</w:t>
    </w:r>
    <w:r>
      <w:fldChar w:fldCharType="begin"/>
    </w:r>
    <w:r>
      <w:rPr>
        <w:rStyle w:val="a4"/>
      </w:rPr>
      <w:instrText>NUMPAGES</w:instrText>
    </w:r>
    <w:r>
      <w:fldChar w:fldCharType="separate"/>
    </w:r>
    <w:r>
      <w:rPr>
        <w:rStyle w:val="a4"/>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B96D0" w14:textId="77777777" w:rsidR="00A7775F" w:rsidRDefault="00A7775F">
      <w:pPr>
        <w:spacing w:after="0"/>
      </w:pPr>
      <w:r>
        <w:separator/>
      </w:r>
    </w:p>
  </w:footnote>
  <w:footnote w:type="continuationSeparator" w:id="0">
    <w:p w14:paraId="31B1356F" w14:textId="77777777" w:rsidR="00A7775F" w:rsidRDefault="00A77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703"/>
    <w:multiLevelType w:val="multilevel"/>
    <w:tmpl w:val="1D62AD34"/>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E21F9"/>
    <w:multiLevelType w:val="multilevel"/>
    <w:tmpl w:val="ED76771C"/>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F44558"/>
    <w:multiLevelType w:val="hybridMultilevel"/>
    <w:tmpl w:val="E7A2C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71FFE"/>
    <w:multiLevelType w:val="multilevel"/>
    <w:tmpl w:val="15EA0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C6673C"/>
    <w:multiLevelType w:val="multilevel"/>
    <w:tmpl w:val="74B493C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4624E2"/>
    <w:multiLevelType w:val="hybridMultilevel"/>
    <w:tmpl w:val="6D5A73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052FC"/>
    <w:multiLevelType w:val="multilevel"/>
    <w:tmpl w:val="A3A68036"/>
    <w:lvl w:ilvl="0">
      <w:start w:val="1"/>
      <w:numFmt w:val="bullet"/>
      <w:lvlText w:val="•"/>
      <w:lvlJc w:val="left"/>
      <w:pPr>
        <w:ind w:left="1680" w:hanging="420"/>
      </w:pPr>
      <w:rPr>
        <w:rFonts w:ascii="Calibri" w:hAnsi="Calibri"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7" w15:restartNumberingAfterBreak="0">
    <w:nsid w:val="38AF5ECF"/>
    <w:multiLevelType w:val="multilevel"/>
    <w:tmpl w:val="D7B85B88"/>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3DD0131B"/>
    <w:multiLevelType w:val="multilevel"/>
    <w:tmpl w:val="65DC42DE"/>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3556464"/>
    <w:multiLevelType w:val="multilevel"/>
    <w:tmpl w:val="17BAAE60"/>
    <w:lvl w:ilvl="0">
      <w:start w:val="1"/>
      <w:numFmt w:val="bullet"/>
      <w:lvlText w:val="•"/>
      <w:lvlJc w:val="left"/>
      <w:pPr>
        <w:ind w:left="1680" w:hanging="420"/>
      </w:pPr>
      <w:rPr>
        <w:rFonts w:ascii="Calibri" w:hAnsi="Calibri"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0" w15:restartNumberingAfterBreak="0">
    <w:nsid w:val="52BE1676"/>
    <w:multiLevelType w:val="multilevel"/>
    <w:tmpl w:val="C58AB1A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4172E5C"/>
    <w:multiLevelType w:val="multilevel"/>
    <w:tmpl w:val="9882432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51D7CFA"/>
    <w:multiLevelType w:val="multilevel"/>
    <w:tmpl w:val="9D6CCE24"/>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2639E4"/>
    <w:multiLevelType w:val="hybridMultilevel"/>
    <w:tmpl w:val="6186E7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5768FF"/>
    <w:multiLevelType w:val="multilevel"/>
    <w:tmpl w:val="8B36F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281339E"/>
    <w:multiLevelType w:val="multilevel"/>
    <w:tmpl w:val="D57EBE94"/>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4281FEB"/>
    <w:multiLevelType w:val="hybridMultilevel"/>
    <w:tmpl w:val="72F6B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6B0BCA"/>
    <w:multiLevelType w:val="hybridMultilevel"/>
    <w:tmpl w:val="E7820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720B23"/>
    <w:multiLevelType w:val="hybridMultilevel"/>
    <w:tmpl w:val="16B6A2A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4C7476F"/>
    <w:multiLevelType w:val="multilevel"/>
    <w:tmpl w:val="67F6A834"/>
    <w:lvl w:ilvl="0">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4F34C6"/>
    <w:multiLevelType w:val="hybridMultilevel"/>
    <w:tmpl w:val="7D328D1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EE1083"/>
    <w:multiLevelType w:val="multilevel"/>
    <w:tmpl w:val="347E56AE"/>
    <w:lvl w:ilvl="0">
      <w:start w:val="1"/>
      <w:numFmt w:val="bullet"/>
      <w:lvlText w:val="l"/>
      <w:lvlJc w:val="left"/>
      <w:pPr>
        <w:ind w:left="420" w:hanging="420"/>
      </w:pPr>
      <w:rPr>
        <w:rFonts w:ascii="Wingdings" w:eastAsia="Wingdings" w:hAnsi="Wingdings" w:cs="Wingdings"/>
        <w:b w:val="0"/>
        <w:i w:val="0"/>
        <w:color w:val="000000"/>
        <w:sz w:val="20"/>
      </w:rPr>
    </w:lvl>
    <w:lvl w:ilvl="1">
      <w:start w:val="1"/>
      <w:numFmt w:val="bullet"/>
      <w:lvlText w:val="n"/>
      <w:lvlJc w:val="left"/>
      <w:pPr>
        <w:ind w:left="840" w:hanging="420"/>
      </w:pPr>
      <w:rPr>
        <w:rFonts w:ascii="Wingdings" w:eastAsia="Wingdings" w:hAnsi="Wingdings" w:cs="Wingdings"/>
        <w:b w:val="0"/>
        <w:i w:val="0"/>
      </w:rPr>
    </w:lvl>
    <w:lvl w:ilvl="2">
      <w:start w:val="1"/>
      <w:numFmt w:val="bullet"/>
      <w:lvlText w:val="u"/>
      <w:lvlJc w:val="left"/>
      <w:pPr>
        <w:ind w:left="1260" w:hanging="420"/>
      </w:pPr>
      <w:rPr>
        <w:rFonts w:ascii="Wingdings" w:eastAsia="Wingdings" w:hAnsi="Wingdings" w:cs="Wingdings"/>
        <w:b w:val="0"/>
        <w:i w:val="0"/>
      </w:rPr>
    </w:lvl>
    <w:lvl w:ilvl="3">
      <w:start w:val="1"/>
      <w:numFmt w:val="bullet"/>
      <w:lvlText w:val="l"/>
      <w:lvlJc w:val="left"/>
      <w:pPr>
        <w:ind w:left="1680" w:hanging="420"/>
      </w:pPr>
      <w:rPr>
        <w:rFonts w:ascii="Wingdings" w:eastAsia="Wingdings" w:hAnsi="Wingdings" w:cs="Wingdings"/>
        <w:b w:val="0"/>
        <w:i w:val="0"/>
      </w:rPr>
    </w:lvl>
    <w:lvl w:ilvl="4">
      <w:start w:val="1"/>
      <w:numFmt w:val="bullet"/>
      <w:lvlText w:val="n"/>
      <w:lvlJc w:val="left"/>
      <w:pPr>
        <w:ind w:left="2100" w:hanging="420"/>
      </w:pPr>
      <w:rPr>
        <w:rFonts w:ascii="Wingdings" w:eastAsia="Wingdings" w:hAnsi="Wingdings" w:cs="Wingdings"/>
        <w:b w:val="0"/>
        <w:i w:val="0"/>
      </w:rPr>
    </w:lvl>
    <w:lvl w:ilvl="5">
      <w:start w:val="1"/>
      <w:numFmt w:val="bullet"/>
      <w:lvlText w:val="u"/>
      <w:lvlJc w:val="left"/>
      <w:pPr>
        <w:ind w:left="2520" w:hanging="420"/>
      </w:pPr>
      <w:rPr>
        <w:rFonts w:ascii="Wingdings" w:eastAsia="Wingdings" w:hAnsi="Wingdings" w:cs="Wingdings"/>
        <w:b w:val="0"/>
        <w:i w:val="0"/>
      </w:rPr>
    </w:lvl>
    <w:lvl w:ilvl="6">
      <w:start w:val="1"/>
      <w:numFmt w:val="bullet"/>
      <w:lvlText w:val="l"/>
      <w:lvlJc w:val="left"/>
      <w:pPr>
        <w:ind w:left="2940" w:hanging="420"/>
      </w:pPr>
      <w:rPr>
        <w:rFonts w:ascii="Wingdings" w:eastAsia="Wingdings" w:hAnsi="Wingdings" w:cs="Wingdings"/>
        <w:b w:val="0"/>
        <w:i w:val="0"/>
      </w:rPr>
    </w:lvl>
    <w:lvl w:ilvl="7">
      <w:start w:val="1"/>
      <w:numFmt w:val="bullet"/>
      <w:lvlText w:val="n"/>
      <w:lvlJc w:val="left"/>
      <w:pPr>
        <w:ind w:left="3360" w:hanging="420"/>
      </w:pPr>
      <w:rPr>
        <w:rFonts w:ascii="Wingdings" w:eastAsia="Wingdings" w:hAnsi="Wingdings" w:cs="Wingdings"/>
        <w:b w:val="0"/>
        <w:i w:val="0"/>
      </w:rPr>
    </w:lvl>
    <w:lvl w:ilvl="8">
      <w:start w:val="1"/>
      <w:numFmt w:val="bullet"/>
      <w:lvlText w:val="u"/>
      <w:lvlJc w:val="left"/>
      <w:pPr>
        <w:ind w:left="3780" w:hanging="420"/>
      </w:pPr>
      <w:rPr>
        <w:rFonts w:ascii="Wingdings" w:eastAsia="Wingdings" w:hAnsi="Wingdings" w:cs="Wingdings"/>
        <w:b w:val="0"/>
        <w:i w:val="0"/>
      </w:rPr>
    </w:lvl>
  </w:abstractNum>
  <w:num w:numId="1">
    <w:abstractNumId w:val="10"/>
  </w:num>
  <w:num w:numId="2">
    <w:abstractNumId w:val="12"/>
  </w:num>
  <w:num w:numId="3">
    <w:abstractNumId w:val="8"/>
  </w:num>
  <w:num w:numId="4">
    <w:abstractNumId w:val="4"/>
  </w:num>
  <w:num w:numId="5">
    <w:abstractNumId w:val="16"/>
  </w:num>
  <w:num w:numId="6">
    <w:abstractNumId w:val="3"/>
  </w:num>
  <w:num w:numId="7">
    <w:abstractNumId w:val="15"/>
  </w:num>
  <w:num w:numId="8">
    <w:abstractNumId w:val="10"/>
  </w:num>
  <w:num w:numId="9">
    <w:abstractNumId w:val="10"/>
  </w:num>
  <w:num w:numId="10">
    <w:abstractNumId w:val="10"/>
  </w:num>
  <w:num w:numId="11">
    <w:abstractNumId w:val="10"/>
  </w:num>
  <w:num w:numId="12">
    <w:abstractNumId w:val="16"/>
  </w:num>
  <w:num w:numId="13">
    <w:abstractNumId w:val="0"/>
  </w:num>
  <w:num w:numId="14">
    <w:abstractNumId w:val="1"/>
  </w:num>
  <w:num w:numId="15">
    <w:abstractNumId w:val="10"/>
  </w:num>
  <w:num w:numId="16">
    <w:abstractNumId w:val="9"/>
  </w:num>
  <w:num w:numId="17">
    <w:abstractNumId w:val="10"/>
  </w:num>
  <w:num w:numId="18">
    <w:abstractNumId w:val="10"/>
  </w:num>
  <w:num w:numId="19">
    <w:abstractNumId w:val="10"/>
  </w:num>
  <w:num w:numId="20">
    <w:abstractNumId w:val="10"/>
  </w:num>
  <w:num w:numId="21">
    <w:abstractNumId w:val="7"/>
  </w:num>
  <w:num w:numId="22">
    <w:abstractNumId w:val="20"/>
  </w:num>
  <w:num w:numId="23">
    <w:abstractNumId w:val="22"/>
  </w:num>
  <w:num w:numId="24">
    <w:abstractNumId w:val="11"/>
  </w:num>
  <w:num w:numId="25">
    <w:abstractNumId w:val="6"/>
  </w:num>
  <w:num w:numId="26">
    <w:abstractNumId w:val="17"/>
  </w:num>
  <w:num w:numId="27">
    <w:abstractNumId w:val="2"/>
  </w:num>
  <w:num w:numId="28">
    <w:abstractNumId w:val="10"/>
  </w:num>
  <w:num w:numId="29">
    <w:abstractNumId w:val="10"/>
  </w:num>
  <w:num w:numId="30">
    <w:abstractNumId w:val="13"/>
  </w:num>
  <w:num w:numId="31">
    <w:abstractNumId w:val="18"/>
  </w:num>
  <w:num w:numId="32">
    <w:abstractNumId w:val="21"/>
  </w:num>
  <w:num w:numId="33">
    <w:abstractNumId w:val="19"/>
  </w:num>
  <w:num w:numId="34">
    <w:abstractNumId w:val="14"/>
  </w:num>
  <w:num w:numId="35">
    <w:abstractNumId w:val="5"/>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CA"/>
    <w:rsid w:val="00000697"/>
    <w:rsid w:val="00001F59"/>
    <w:rsid w:val="0001022D"/>
    <w:rsid w:val="000335D2"/>
    <w:rsid w:val="000355AB"/>
    <w:rsid w:val="000356C2"/>
    <w:rsid w:val="00036C30"/>
    <w:rsid w:val="00041F9B"/>
    <w:rsid w:val="00046EF7"/>
    <w:rsid w:val="00047E7E"/>
    <w:rsid w:val="0006462C"/>
    <w:rsid w:val="00073280"/>
    <w:rsid w:val="00076CA1"/>
    <w:rsid w:val="0009302C"/>
    <w:rsid w:val="00094665"/>
    <w:rsid w:val="00095300"/>
    <w:rsid w:val="000A1E53"/>
    <w:rsid w:val="000C4E06"/>
    <w:rsid w:val="000C7A65"/>
    <w:rsid w:val="000D64B0"/>
    <w:rsid w:val="000D7098"/>
    <w:rsid w:val="000E007B"/>
    <w:rsid w:val="000F4AD9"/>
    <w:rsid w:val="00105DF7"/>
    <w:rsid w:val="00105FF7"/>
    <w:rsid w:val="001342E4"/>
    <w:rsid w:val="0014424E"/>
    <w:rsid w:val="00155808"/>
    <w:rsid w:val="001563A7"/>
    <w:rsid w:val="0016012B"/>
    <w:rsid w:val="00166758"/>
    <w:rsid w:val="00171A08"/>
    <w:rsid w:val="001720E6"/>
    <w:rsid w:val="0017726E"/>
    <w:rsid w:val="0018217F"/>
    <w:rsid w:val="00184605"/>
    <w:rsid w:val="00191E0E"/>
    <w:rsid w:val="001926C2"/>
    <w:rsid w:val="001A116A"/>
    <w:rsid w:val="001A20C4"/>
    <w:rsid w:val="001A31FF"/>
    <w:rsid w:val="001B1825"/>
    <w:rsid w:val="001D1401"/>
    <w:rsid w:val="001E2883"/>
    <w:rsid w:val="001F7ADC"/>
    <w:rsid w:val="00230ECA"/>
    <w:rsid w:val="00235EAD"/>
    <w:rsid w:val="00252F85"/>
    <w:rsid w:val="00262D3B"/>
    <w:rsid w:val="0027393B"/>
    <w:rsid w:val="00274851"/>
    <w:rsid w:val="00275529"/>
    <w:rsid w:val="00296509"/>
    <w:rsid w:val="002B54B2"/>
    <w:rsid w:val="002E671A"/>
    <w:rsid w:val="002E6C24"/>
    <w:rsid w:val="00322A3B"/>
    <w:rsid w:val="00324218"/>
    <w:rsid w:val="00337BB7"/>
    <w:rsid w:val="0035446B"/>
    <w:rsid w:val="00362292"/>
    <w:rsid w:val="003652C0"/>
    <w:rsid w:val="00371AD2"/>
    <w:rsid w:val="00381C7D"/>
    <w:rsid w:val="00387AC5"/>
    <w:rsid w:val="0039715F"/>
    <w:rsid w:val="003A3D65"/>
    <w:rsid w:val="003A4C93"/>
    <w:rsid w:val="003C19F1"/>
    <w:rsid w:val="003F33C3"/>
    <w:rsid w:val="003F74B6"/>
    <w:rsid w:val="00447C19"/>
    <w:rsid w:val="00474A4F"/>
    <w:rsid w:val="00480433"/>
    <w:rsid w:val="004811E9"/>
    <w:rsid w:val="004903C7"/>
    <w:rsid w:val="00493C3C"/>
    <w:rsid w:val="004B6A79"/>
    <w:rsid w:val="004C3B51"/>
    <w:rsid w:val="004C5DE7"/>
    <w:rsid w:val="004C6DE3"/>
    <w:rsid w:val="004F16AD"/>
    <w:rsid w:val="004F1DC4"/>
    <w:rsid w:val="004F4C0E"/>
    <w:rsid w:val="004F70A1"/>
    <w:rsid w:val="005001BC"/>
    <w:rsid w:val="00504EEF"/>
    <w:rsid w:val="005166BA"/>
    <w:rsid w:val="00517B14"/>
    <w:rsid w:val="005222FE"/>
    <w:rsid w:val="00534426"/>
    <w:rsid w:val="005359C5"/>
    <w:rsid w:val="00540D65"/>
    <w:rsid w:val="00550911"/>
    <w:rsid w:val="00555066"/>
    <w:rsid w:val="00564E41"/>
    <w:rsid w:val="00566536"/>
    <w:rsid w:val="00566D59"/>
    <w:rsid w:val="00570E03"/>
    <w:rsid w:val="00571207"/>
    <w:rsid w:val="00572B65"/>
    <w:rsid w:val="00575B5B"/>
    <w:rsid w:val="005872C2"/>
    <w:rsid w:val="0059303B"/>
    <w:rsid w:val="005C6A3F"/>
    <w:rsid w:val="005E1EED"/>
    <w:rsid w:val="005E7182"/>
    <w:rsid w:val="005F2285"/>
    <w:rsid w:val="006063D4"/>
    <w:rsid w:val="0061281F"/>
    <w:rsid w:val="006361E9"/>
    <w:rsid w:val="0064098F"/>
    <w:rsid w:val="0064538E"/>
    <w:rsid w:val="00664159"/>
    <w:rsid w:val="006A4921"/>
    <w:rsid w:val="006A7AE0"/>
    <w:rsid w:val="006B6AD2"/>
    <w:rsid w:val="006C13C5"/>
    <w:rsid w:val="006D221E"/>
    <w:rsid w:val="006D295F"/>
    <w:rsid w:val="006F7662"/>
    <w:rsid w:val="00705C4A"/>
    <w:rsid w:val="00710A46"/>
    <w:rsid w:val="0072571A"/>
    <w:rsid w:val="00737ED4"/>
    <w:rsid w:val="007417B4"/>
    <w:rsid w:val="00747286"/>
    <w:rsid w:val="00752698"/>
    <w:rsid w:val="0075786E"/>
    <w:rsid w:val="007844E7"/>
    <w:rsid w:val="007916AE"/>
    <w:rsid w:val="00792B78"/>
    <w:rsid w:val="00794AE9"/>
    <w:rsid w:val="007B16D4"/>
    <w:rsid w:val="007D676A"/>
    <w:rsid w:val="007E15D2"/>
    <w:rsid w:val="008162E3"/>
    <w:rsid w:val="008233D2"/>
    <w:rsid w:val="008428DE"/>
    <w:rsid w:val="008554AC"/>
    <w:rsid w:val="00861227"/>
    <w:rsid w:val="008A25D5"/>
    <w:rsid w:val="008B416A"/>
    <w:rsid w:val="008C1D4B"/>
    <w:rsid w:val="008D1EF9"/>
    <w:rsid w:val="008F31F9"/>
    <w:rsid w:val="008F6666"/>
    <w:rsid w:val="008F784D"/>
    <w:rsid w:val="00900226"/>
    <w:rsid w:val="00901820"/>
    <w:rsid w:val="00903624"/>
    <w:rsid w:val="009058BA"/>
    <w:rsid w:val="00911E81"/>
    <w:rsid w:val="00951835"/>
    <w:rsid w:val="00952FA0"/>
    <w:rsid w:val="00955D05"/>
    <w:rsid w:val="00964811"/>
    <w:rsid w:val="00965B40"/>
    <w:rsid w:val="00972E70"/>
    <w:rsid w:val="0097462A"/>
    <w:rsid w:val="00975D10"/>
    <w:rsid w:val="00976436"/>
    <w:rsid w:val="00981512"/>
    <w:rsid w:val="00983DB2"/>
    <w:rsid w:val="00984286"/>
    <w:rsid w:val="009D443F"/>
    <w:rsid w:val="009E3641"/>
    <w:rsid w:val="009E4446"/>
    <w:rsid w:val="009E587F"/>
    <w:rsid w:val="009E68D9"/>
    <w:rsid w:val="00A11734"/>
    <w:rsid w:val="00A23EB7"/>
    <w:rsid w:val="00A33A57"/>
    <w:rsid w:val="00A37416"/>
    <w:rsid w:val="00A505D5"/>
    <w:rsid w:val="00A5145E"/>
    <w:rsid w:val="00A5743F"/>
    <w:rsid w:val="00A7551F"/>
    <w:rsid w:val="00A7775F"/>
    <w:rsid w:val="00AA6153"/>
    <w:rsid w:val="00AC6B44"/>
    <w:rsid w:val="00AE0961"/>
    <w:rsid w:val="00B655B3"/>
    <w:rsid w:val="00B800D8"/>
    <w:rsid w:val="00B85DE9"/>
    <w:rsid w:val="00B94A33"/>
    <w:rsid w:val="00B9654C"/>
    <w:rsid w:val="00BA0B08"/>
    <w:rsid w:val="00BA23E8"/>
    <w:rsid w:val="00BB4DB9"/>
    <w:rsid w:val="00BB52B3"/>
    <w:rsid w:val="00BC4247"/>
    <w:rsid w:val="00C0408E"/>
    <w:rsid w:val="00C510C8"/>
    <w:rsid w:val="00C51310"/>
    <w:rsid w:val="00C560DE"/>
    <w:rsid w:val="00C61E20"/>
    <w:rsid w:val="00C7187F"/>
    <w:rsid w:val="00C73630"/>
    <w:rsid w:val="00C76E3B"/>
    <w:rsid w:val="00C7767D"/>
    <w:rsid w:val="00C8586A"/>
    <w:rsid w:val="00C90C41"/>
    <w:rsid w:val="00CA1106"/>
    <w:rsid w:val="00CA754B"/>
    <w:rsid w:val="00CB11D9"/>
    <w:rsid w:val="00CD379B"/>
    <w:rsid w:val="00CF77D4"/>
    <w:rsid w:val="00D03CF4"/>
    <w:rsid w:val="00D22E7B"/>
    <w:rsid w:val="00D414F5"/>
    <w:rsid w:val="00D77E20"/>
    <w:rsid w:val="00D84630"/>
    <w:rsid w:val="00D90E00"/>
    <w:rsid w:val="00DE1995"/>
    <w:rsid w:val="00DE6C24"/>
    <w:rsid w:val="00DE7F23"/>
    <w:rsid w:val="00E03408"/>
    <w:rsid w:val="00E14E59"/>
    <w:rsid w:val="00E17290"/>
    <w:rsid w:val="00E25660"/>
    <w:rsid w:val="00E26404"/>
    <w:rsid w:val="00E26F57"/>
    <w:rsid w:val="00E36E21"/>
    <w:rsid w:val="00E37451"/>
    <w:rsid w:val="00E54802"/>
    <w:rsid w:val="00E815A9"/>
    <w:rsid w:val="00E84035"/>
    <w:rsid w:val="00E85ED3"/>
    <w:rsid w:val="00E861AA"/>
    <w:rsid w:val="00E9018F"/>
    <w:rsid w:val="00E932C7"/>
    <w:rsid w:val="00EB6C02"/>
    <w:rsid w:val="00EC0276"/>
    <w:rsid w:val="00EC4BFD"/>
    <w:rsid w:val="00EC56F5"/>
    <w:rsid w:val="00EE1AFF"/>
    <w:rsid w:val="00EF5D33"/>
    <w:rsid w:val="00F100E8"/>
    <w:rsid w:val="00F2376C"/>
    <w:rsid w:val="00F27E46"/>
    <w:rsid w:val="00F37C00"/>
    <w:rsid w:val="00F70DED"/>
    <w:rsid w:val="00F8214E"/>
    <w:rsid w:val="00F83BEE"/>
    <w:rsid w:val="00F900E4"/>
    <w:rsid w:val="00FA0690"/>
    <w:rsid w:val="00FB4025"/>
    <w:rsid w:val="00FC321F"/>
    <w:rsid w:val="00FC3CD2"/>
    <w:rsid w:val="00FC4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F0E82"/>
  <w15:docId w15:val="{B802D64F-D6E5-4EB6-9898-C900C342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jc w:val="both"/>
    </w:pPr>
    <w:rPr>
      <w:rFonts w:ascii="Arial" w:eastAsia="宋体" w:hAnsi="Arial" w:cs="Times New Roman"/>
      <w:kern w:val="0"/>
      <w:sz w:val="20"/>
      <w:szCs w:val="20"/>
      <w:lang w:val="en-GB"/>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rPr>
  </w:style>
  <w:style w:type="paragraph" w:styleId="2">
    <w:name w:val="heading 2"/>
    <w:basedOn w:val="1"/>
    <w:next w:val="a"/>
    <w:link w:val="20"/>
    <w:uiPriority w:val="9"/>
    <w:unhideWhenUsed/>
    <w:qFormat/>
    <w:pPr>
      <w:numPr>
        <w:ilvl w:val="1"/>
      </w:numPr>
      <w:pBdr>
        <w:top w:val="nil"/>
      </w:pBdr>
      <w:tabs>
        <w:tab w:val="left" w:pos="576"/>
      </w:tabs>
      <w:spacing w:before="180"/>
      <w:outlineLvl w:val="1"/>
    </w:pPr>
    <w:rPr>
      <w:sz w:val="32"/>
      <w:szCs w:val="32"/>
    </w:rPr>
  </w:style>
  <w:style w:type="paragraph" w:styleId="3">
    <w:name w:val="heading 3"/>
    <w:basedOn w:val="2"/>
    <w:next w:val="a"/>
    <w:link w:val="30"/>
    <w:uiPriority w:val="9"/>
    <w:unhideWhenUsed/>
    <w:qFormat/>
    <w:pPr>
      <w:numPr>
        <w:ilvl w:val="2"/>
      </w:numPr>
      <w:tabs>
        <w:tab w:val="left" w:pos="720"/>
      </w:tabs>
      <w:spacing w:before="120"/>
      <w:outlineLvl w:val="2"/>
    </w:pPr>
    <w:rPr>
      <w:sz w:val="28"/>
      <w:szCs w:val="28"/>
    </w:rPr>
  </w:style>
  <w:style w:type="paragraph" w:styleId="4">
    <w:name w:val="heading 4"/>
    <w:basedOn w:val="3"/>
    <w:next w:val="a"/>
    <w:link w:val="40"/>
    <w:uiPriority w:val="9"/>
    <w:semiHidden/>
    <w:unhideWhenUsed/>
    <w:qFormat/>
    <w:pPr>
      <w:numPr>
        <w:ilvl w:val="3"/>
      </w:numPr>
      <w:tabs>
        <w:tab w:val="left" w:pos="864"/>
      </w:tabs>
      <w:outlineLvl w:val="3"/>
    </w:pPr>
    <w:rPr>
      <w:sz w:val="24"/>
      <w:szCs w:val="24"/>
    </w:rPr>
  </w:style>
  <w:style w:type="paragraph" w:styleId="5">
    <w:name w:val="heading 5"/>
    <w:basedOn w:val="4"/>
    <w:next w:val="a"/>
    <w:link w:val="50"/>
    <w:uiPriority w:val="9"/>
    <w:semiHidden/>
    <w:unhideWhenUsed/>
    <w:qFormat/>
    <w:pPr>
      <w:numPr>
        <w:ilvl w:val="4"/>
      </w:numPr>
      <w:tabs>
        <w:tab w:val="left" w:pos="1008"/>
      </w:tabs>
      <w:outlineLvl w:val="4"/>
    </w:pPr>
    <w:rPr>
      <w:sz w:val="22"/>
      <w:szCs w:val="22"/>
    </w:rPr>
  </w:style>
  <w:style w:type="paragraph" w:styleId="6">
    <w:name w:val="heading 6"/>
    <w:basedOn w:val="a"/>
    <w:next w:val="a"/>
    <w:link w:val="60"/>
    <w:uiPriority w:val="9"/>
    <w:semiHidden/>
    <w:unhideWhenUsed/>
    <w:qFormat/>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宋体" w:hAnsi="Arial" w:cs="Times New Roman"/>
      <w:kern w:val="0"/>
      <w:sz w:val="36"/>
      <w:szCs w:val="36"/>
      <w:lang w:val="en-GB"/>
    </w:rPr>
  </w:style>
  <w:style w:type="character" w:customStyle="1" w:styleId="20">
    <w:name w:val="标题 2 字符"/>
    <w:basedOn w:val="a0"/>
    <w:link w:val="2"/>
    <w:rPr>
      <w:rFonts w:ascii="Arial" w:eastAsia="宋体" w:hAnsi="Arial" w:cs="Times New Roman"/>
      <w:kern w:val="0"/>
      <w:sz w:val="32"/>
      <w:szCs w:val="32"/>
      <w:lang w:val="en-GB"/>
    </w:rPr>
  </w:style>
  <w:style w:type="character" w:customStyle="1" w:styleId="30">
    <w:name w:val="标题 3 字符"/>
    <w:basedOn w:val="a0"/>
    <w:link w:val="3"/>
    <w:rPr>
      <w:rFonts w:ascii="Arial" w:eastAsia="宋体" w:hAnsi="Arial" w:cs="Times New Roman"/>
      <w:kern w:val="0"/>
      <w:sz w:val="28"/>
      <w:szCs w:val="28"/>
      <w:lang w:val="en-GB"/>
    </w:rPr>
  </w:style>
  <w:style w:type="character" w:customStyle="1" w:styleId="40">
    <w:name w:val="标题 4 字符"/>
    <w:basedOn w:val="a0"/>
    <w:link w:val="4"/>
    <w:rPr>
      <w:rFonts w:ascii="Arial" w:eastAsia="宋体" w:hAnsi="Arial" w:cs="Times New Roman"/>
      <w:kern w:val="0"/>
      <w:sz w:val="24"/>
      <w:szCs w:val="24"/>
      <w:lang w:val="en-GB"/>
    </w:rPr>
  </w:style>
  <w:style w:type="character" w:customStyle="1" w:styleId="50">
    <w:name w:val="标题 5 字符"/>
    <w:basedOn w:val="a0"/>
    <w:link w:val="5"/>
    <w:rPr>
      <w:rFonts w:ascii="Arial" w:eastAsia="宋体" w:hAnsi="Arial" w:cs="Times New Roman"/>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character" w:styleId="a3">
    <w:name w:val="Hyperlink"/>
    <w:uiPriority w:val="99"/>
    <w:rPr>
      <w:color w:val="0000FF"/>
      <w:u w:val="single"/>
      <w:lang w:val="en-GB"/>
    </w:rPr>
  </w:style>
  <w:style w:type="character" w:styleId="a4">
    <w:name w:val="page number"/>
    <w:basedOn w:val="a0"/>
  </w:style>
  <w:style w:type="character" w:customStyle="1" w:styleId="a5">
    <w:name w:val="页脚 字符"/>
    <w:link w:val="a6"/>
    <w:uiPriority w:val="99"/>
    <w:qFormat/>
    <w:rPr>
      <w:rFonts w:ascii="Arial" w:hAnsi="Arial" w:cs="Arial"/>
      <w:b/>
      <w:i/>
      <w:sz w:val="18"/>
      <w:szCs w:val="18"/>
    </w:rPr>
  </w:style>
  <w:style w:type="character" w:customStyle="1" w:styleId="Doc-titleChar">
    <w:name w:val="Doc-title Char"/>
    <w:link w:val="Doc-title"/>
    <w:qFormat/>
    <w:rPr>
      <w:rFonts w:ascii="Arial" w:eastAsia="MS Mincho" w:hAnsi="Arial" w:cs="Arial"/>
      <w:szCs w:val="24"/>
      <w:lang w:val="en-GB" w:eastAsia="en-GB"/>
    </w:rPr>
  </w:style>
  <w:style w:type="character" w:customStyle="1" w:styleId="11">
    <w:name w:val="正文文本 字符1"/>
    <w:link w:val="a7"/>
    <w:rPr>
      <w:rFonts w:ascii="Arial" w:hAnsi="Arial"/>
      <w:lang w:val="en-GB"/>
    </w:rPr>
  </w:style>
  <w:style w:type="character" w:customStyle="1" w:styleId="B1Char">
    <w:name w:val="B1 Char"/>
    <w:link w:val="B1"/>
    <w:qFormat/>
    <w:rPr>
      <w:rFonts w:ascii="Arial"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CRCoverPageZchn">
    <w:name w:val="CR Cover Page Zchn"/>
    <w:link w:val="CRCoverPage"/>
    <w:rPr>
      <w:rFonts w:ascii="Arial" w:hAnsi="Arial"/>
      <w:lang w:val="en-GB" w:eastAsia="en-US"/>
    </w:rPr>
  </w:style>
  <w:style w:type="paragraph" w:styleId="a7">
    <w:name w:val="Body Text"/>
    <w:basedOn w:val="a"/>
    <w:link w:val="11"/>
    <w:rPr>
      <w:rFonts w:eastAsiaTheme="minorEastAsia" w:cstheme="minorBidi"/>
      <w:kern w:val="2"/>
      <w:sz w:val="21"/>
      <w:szCs w:val="22"/>
    </w:rPr>
  </w:style>
  <w:style w:type="character" w:customStyle="1" w:styleId="a8">
    <w:name w:val="正文文本 字符"/>
    <w:basedOn w:val="a0"/>
    <w:rPr>
      <w:rFonts w:ascii="Arial" w:eastAsia="宋体" w:hAnsi="Arial" w:cs="Times New Roman"/>
      <w:kern w:val="0"/>
      <w:sz w:val="20"/>
      <w:szCs w:val="20"/>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theme="minorBidi"/>
      <w:kern w:val="2"/>
      <w:sz w:val="21"/>
      <w:szCs w:val="24"/>
      <w:lang w:eastAsia="en-GB"/>
    </w:rPr>
  </w:style>
  <w:style w:type="paragraph" w:styleId="a6">
    <w:name w:val="footer"/>
    <w:basedOn w:val="a9"/>
    <w:link w:val="a5"/>
    <w:uiPriority w:val="99"/>
    <w:qFormat/>
    <w:pPr>
      <w:widowControl w:val="0"/>
      <w:pBdr>
        <w:bottom w:val="nil"/>
      </w:pBdr>
      <w:tabs>
        <w:tab w:val="clear" w:pos="4153"/>
        <w:tab w:val="clear" w:pos="8306"/>
      </w:tabs>
      <w:snapToGrid/>
      <w:spacing w:after="0"/>
    </w:pPr>
    <w:rPr>
      <w:rFonts w:eastAsiaTheme="minorEastAsia" w:cs="Arial"/>
      <w:b/>
      <w:i/>
      <w:kern w:val="2"/>
      <w:lang w:val="en-US"/>
    </w:rPr>
  </w:style>
  <w:style w:type="character" w:customStyle="1" w:styleId="12">
    <w:name w:val="页脚 字符1"/>
    <w:basedOn w:val="a0"/>
    <w:uiPriority w:val="99"/>
    <w:rPr>
      <w:rFonts w:ascii="Arial" w:eastAsia="宋体" w:hAnsi="Arial" w:cs="Times New Roman"/>
      <w:kern w:val="0"/>
      <w:sz w:val="18"/>
      <w:szCs w:val="18"/>
      <w:lang w:val="en-GB"/>
    </w:rPr>
  </w:style>
  <w:style w:type="paragraph" w:customStyle="1" w:styleId="3GPPHeader">
    <w:name w:val="3GPP_Header"/>
    <w:basedOn w:val="a"/>
    <w:pPr>
      <w:tabs>
        <w:tab w:val="left" w:pos="1701"/>
        <w:tab w:val="right" w:pos="9639"/>
      </w:tabs>
      <w:spacing w:after="240"/>
    </w:pPr>
    <w:rPr>
      <w:b/>
      <w:sz w:val="24"/>
    </w:rPr>
  </w:style>
  <w:style w:type="paragraph" w:customStyle="1" w:styleId="B1">
    <w:name w:val="B1"/>
    <w:basedOn w:val="aa"/>
    <w:link w:val="B1Char"/>
    <w:qFormat/>
    <w:pPr>
      <w:spacing w:after="180"/>
      <w:ind w:left="568" w:firstLineChars="0" w:hanging="284"/>
      <w:jc w:val="left"/>
    </w:pPr>
    <w:rPr>
      <w:rFonts w:eastAsiaTheme="minorEastAsia" w:cstheme="minorBidi"/>
      <w:kern w:val="2"/>
      <w:sz w:val="21"/>
      <w:szCs w:val="22"/>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jc w:val="left"/>
    </w:pPr>
    <w:rPr>
      <w:rFonts w:eastAsia="MS Mincho" w:cs="Arial"/>
      <w:kern w:val="2"/>
      <w:sz w:val="21"/>
      <w:szCs w:val="24"/>
      <w:lang w:eastAsia="en-GB"/>
    </w:rPr>
  </w:style>
  <w:style w:type="paragraph" w:styleId="a9">
    <w:name w:val="header"/>
    <w:basedOn w:val="a"/>
    <w:link w:val="ab"/>
    <w:uiPriority w:val="9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Pr>
      <w:rFonts w:ascii="Arial" w:eastAsia="宋体" w:hAnsi="Arial" w:cs="Times New Roman"/>
      <w:kern w:val="0"/>
      <w:sz w:val="18"/>
      <w:szCs w:val="18"/>
      <w:lang w:val="en-GB"/>
    </w:rPr>
  </w:style>
  <w:style w:type="paragraph" w:styleId="aa">
    <w:name w:val="List"/>
    <w:basedOn w:val="a"/>
    <w:uiPriority w:val="99"/>
    <w:pPr>
      <w:ind w:left="200" w:hangingChars="200" w:hanging="200"/>
    </w:pPr>
  </w:style>
  <w:style w:type="paragraph" w:styleId="ac">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
    <w:link w:val="ad"/>
    <w:uiPriority w:val="34"/>
    <w:qFormat/>
    <w:pPr>
      <w:ind w:firstLineChars="200" w:firstLine="420"/>
    </w:p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rPr>
      <w:color w:val="605E5C"/>
      <w:shd w:val="clear" w:color="auto" w:fill="E1DFDD"/>
    </w:rPr>
  </w:style>
  <w:style w:type="paragraph" w:styleId="af">
    <w:name w:val="Balloon Text"/>
    <w:basedOn w:val="a"/>
    <w:link w:val="af0"/>
    <w:uiPriority w:val="99"/>
    <w:pPr>
      <w:spacing w:after="0"/>
    </w:pPr>
    <w:rPr>
      <w:sz w:val="18"/>
      <w:szCs w:val="18"/>
    </w:rPr>
  </w:style>
  <w:style w:type="character" w:customStyle="1" w:styleId="af0">
    <w:name w:val="批注框文本 字符"/>
    <w:basedOn w:val="a0"/>
    <w:link w:val="af"/>
    <w:uiPriority w:val="99"/>
    <w:rPr>
      <w:rFonts w:ascii="Arial" w:eastAsia="宋体" w:hAnsi="Arial" w:cs="Times New Roman"/>
      <w:kern w:val="0"/>
      <w:sz w:val="18"/>
      <w:szCs w:val="18"/>
      <w:lang w:val="en-GB"/>
    </w:rPr>
  </w:style>
  <w:style w:type="character" w:styleId="af1">
    <w:name w:val="annotation reference"/>
    <w:basedOn w:val="a0"/>
    <w:uiPriority w:val="99"/>
    <w:qFormat/>
    <w:rPr>
      <w:sz w:val="21"/>
      <w:szCs w:val="21"/>
    </w:rPr>
  </w:style>
  <w:style w:type="paragraph" w:styleId="af2">
    <w:name w:val="annotation text"/>
    <w:basedOn w:val="a"/>
    <w:link w:val="af3"/>
    <w:uiPriority w:val="99"/>
    <w:qFormat/>
    <w:pPr>
      <w:jc w:val="left"/>
    </w:pPr>
  </w:style>
  <w:style w:type="character" w:customStyle="1" w:styleId="af3">
    <w:name w:val="批注文字 字符"/>
    <w:basedOn w:val="a0"/>
    <w:link w:val="af2"/>
    <w:uiPriority w:val="99"/>
    <w:qFormat/>
    <w:rPr>
      <w:rFonts w:ascii="Arial" w:eastAsia="宋体" w:hAnsi="Arial" w:cs="Times New Roman"/>
      <w:kern w:val="0"/>
      <w:sz w:val="20"/>
      <w:szCs w:val="20"/>
      <w:lang w:val="en-GB"/>
    </w:rPr>
  </w:style>
  <w:style w:type="paragraph" w:styleId="af4">
    <w:name w:val="annotation subject"/>
    <w:basedOn w:val="af2"/>
    <w:next w:val="af2"/>
    <w:link w:val="af5"/>
    <w:uiPriority w:val="99"/>
    <w:rPr>
      <w:b/>
    </w:rPr>
  </w:style>
  <w:style w:type="character" w:customStyle="1" w:styleId="af5">
    <w:name w:val="批注主题 字符"/>
    <w:basedOn w:val="af3"/>
    <w:link w:val="af4"/>
    <w:uiPriority w:val="99"/>
    <w:rPr>
      <w:rFonts w:ascii="Arial" w:eastAsia="宋体" w:hAnsi="Arial" w:cs="Times New Roman"/>
      <w:b/>
      <w:kern w:val="0"/>
      <w:sz w:val="20"/>
      <w:szCs w:val="20"/>
      <w:lang w:val="en-GB"/>
    </w:rPr>
  </w:style>
  <w:style w:type="paragraph" w:customStyle="1" w:styleId="Agreement">
    <w:name w:val="Agreement"/>
    <w:basedOn w:val="a"/>
    <w:next w:val="Doc-text2"/>
    <w:uiPriority w:val="99"/>
    <w:qFormat/>
    <w:pPr>
      <w:numPr>
        <w:numId w:val="2"/>
      </w:numPr>
      <w:overflowPunct/>
      <w:autoSpaceDE/>
      <w:autoSpaceDN/>
      <w:adjustRightInd/>
      <w:spacing w:before="60" w:after="0"/>
      <w:jc w:val="left"/>
    </w:pPr>
    <w:rPr>
      <w:rFonts w:eastAsia="MS Mincho"/>
      <w:b/>
      <w:szCs w:val="24"/>
      <w:lang w:eastAsia="en-GB"/>
    </w:rPr>
  </w:style>
  <w:style w:type="character" w:customStyle="1" w:styleId="ad">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c"/>
    <w:uiPriority w:val="34"/>
    <w:qFormat/>
    <w:rPr>
      <w:rFonts w:ascii="Arial" w:eastAsia="宋体" w:hAnsi="Arial" w:cs="Times New Roman"/>
      <w:kern w:val="0"/>
      <w:sz w:val="20"/>
      <w:szCs w:val="20"/>
      <w:lang w:val="en-GB"/>
    </w:rPr>
  </w:style>
  <w:style w:type="paragraph" w:customStyle="1" w:styleId="TAL">
    <w:name w:val="TAL"/>
    <w:basedOn w:val="a"/>
    <w:link w:val="TALCar"/>
    <w:qFormat/>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0"/>
    <w:link w:val="TAL"/>
    <w:qFormat/>
    <w:rPr>
      <w:rFonts w:ascii="Arial" w:hAnsi="Arial" w:cs="Times New Roman"/>
      <w:kern w:val="0"/>
      <w:sz w:val="18"/>
      <w:szCs w:val="20"/>
      <w:lang w:val="en-GB" w:eastAsia="en-US"/>
    </w:rPr>
  </w:style>
  <w:style w:type="character" w:styleId="af6">
    <w:name w:val="Emphasis"/>
    <w:qFormat/>
    <w:rPr>
      <w:i/>
    </w:rPr>
  </w:style>
  <w:style w:type="character" w:customStyle="1" w:styleId="Apple-converted-space">
    <w:name w:val="Apple-converted-space"/>
    <w:qFormat/>
  </w:style>
  <w:style w:type="paragraph" w:customStyle="1" w:styleId="Reference">
    <w:name w:val="Reference"/>
    <w:basedOn w:val="a"/>
    <w:qFormat/>
    <w:pPr>
      <w:numPr>
        <w:numId w:val="5"/>
      </w:numPr>
      <w:spacing w:after="180" w:line="259" w:lineRule="auto"/>
    </w:pPr>
    <w:rPr>
      <w:rFonts w:eastAsia="Times New Roman"/>
      <w:lang w:eastAsia="ja-JP"/>
    </w:rPr>
  </w:style>
  <w:style w:type="paragraph" w:customStyle="1" w:styleId="Bodytext">
    <w:name w:val="Bodytext"/>
    <w:basedOn w:val="a"/>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7">
    <w:name w:val="Unresolved Mention"/>
    <w:basedOn w:val="a0"/>
    <w:uiPriority w:val="99"/>
    <w:rPr>
      <w:color w:val="605E5C"/>
      <w:shd w:val="clear" w:color="auto" w:fill="E1DFDD"/>
    </w:rPr>
  </w:style>
  <w:style w:type="table" w:styleId="af8">
    <w:name w:val="Grid Table Light"/>
    <w:basedOn w:val="a1"/>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link w:val="Observation0"/>
    <w:qFormat/>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0">
    <w:name w:val="Observation 字符"/>
    <w:basedOn w:val="a0"/>
    <w:link w:val="Observation"/>
    <w:rPr>
      <w:rFonts w:ascii="Times New Roman" w:hAnsi="Times New Roman" w:cs="Times New Roman"/>
      <w:b/>
      <w:kern w:val="0"/>
      <w:sz w:val="20"/>
      <w:szCs w:val="20"/>
    </w:rPr>
  </w:style>
  <w:style w:type="paragraph" w:customStyle="1" w:styleId="TAH">
    <w:name w:val="TAH"/>
    <w:basedOn w:val="TAC"/>
    <w:qFormat/>
    <w:rPr>
      <w:b/>
    </w:rPr>
  </w:style>
  <w:style w:type="paragraph" w:customStyle="1" w:styleId="TAC">
    <w:name w:val="TAC"/>
    <w:basedOn w:val="TAL"/>
    <w:link w:val="TACChar"/>
    <w:qFormat/>
    <w:pPr>
      <w:jc w:val="center"/>
    </w:pPr>
    <w:rPr>
      <w:rFonts w:eastAsia="MS Mincho"/>
    </w:rPr>
  </w:style>
  <w:style w:type="character" w:customStyle="1" w:styleId="TACChar">
    <w:name w:val="TAC Char"/>
    <w:link w:val="TAC"/>
    <w:qFormat/>
    <w:rPr>
      <w:rFonts w:ascii="Arial" w:eastAsia="MS Mincho" w:hAnsi="Arial" w:cs="Times New Roman"/>
      <w:kern w:val="0"/>
      <w:sz w:val="18"/>
      <w:szCs w:val="20"/>
      <w:lang w:val="en-GB" w:eastAsia="en-US"/>
    </w:rPr>
  </w:style>
  <w:style w:type="character" w:styleId="af9">
    <w:name w:val="FollowedHyperlink"/>
    <w:basedOn w:val="a0"/>
    <w:uiPriority w:val="99"/>
    <w:semiHidden/>
    <w:unhideWhenUsed/>
    <w:rsid w:val="007D67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2099</Words>
  <Characters>11966</Characters>
  <Application>Microsoft Office Word</Application>
  <DocSecurity>0</DocSecurity>
  <Lines>99</Lines>
  <Paragraphs>28</Paragraphs>
  <ScaleCrop>false</ScaleCrop>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cp:lastModifiedBy>OPPO-Zonda</cp:lastModifiedBy>
  <cp:revision>9</cp:revision>
  <dcterms:created xsi:type="dcterms:W3CDTF">2024-08-07T09:32:00Z</dcterms:created>
  <dcterms:modified xsi:type="dcterms:W3CDTF">2024-08-08T07:29:00Z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29d109f23a577e0c0a77eee171aeb0c25fd62405f6d385b43b1702ac62f9090e</vt:lpwstr>
  </property>
</Properties>
</file>